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9728" w14:textId="0327084F" w:rsidR="00D646CC" w:rsidRDefault="00F06A76" w:rsidP="00F562AD">
      <w:pPr>
        <w:pStyle w:val="Title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ТБ регистр </w:t>
      </w:r>
      <w:r>
        <w:rPr>
          <w:rFonts w:ascii="Times New Roman" w:hAnsi="Times New Roman" w:cs="Times New Roman"/>
          <w:sz w:val="24"/>
          <w:szCs w:val="24"/>
          <w:lang w:val="en-US"/>
        </w:rPr>
        <w:t>OpenMRS</w:t>
      </w:r>
    </w:p>
    <w:p w14:paraId="0B766F7B" w14:textId="3E13FD75" w:rsidR="00F06A76" w:rsidRPr="00F06A76" w:rsidRDefault="00F06A76" w:rsidP="00F06A76">
      <w:pPr>
        <w:jc w:val="center"/>
      </w:pPr>
      <w:r>
        <w:rPr>
          <w:noProof/>
        </w:rPr>
        <w:drawing>
          <wp:inline distT="0" distB="0" distL="0" distR="0" wp14:anchorId="7A207265" wp14:editId="754151EA">
            <wp:extent cx="2628900" cy="2170963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58" cy="217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BE5D" w14:textId="28B9464B" w:rsidR="00193E08" w:rsidRPr="00C2409A" w:rsidRDefault="00193E08" w:rsidP="00F06A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A1F7F1" w14:textId="2E30714A" w:rsidR="004E0968" w:rsidRDefault="00FD7C58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FD7C58">
        <w:rPr>
          <w:rFonts w:ascii="Times New Roman" w:hAnsi="Times New Roman" w:cs="Times New Roman"/>
          <w:lang w:val="ru-RU"/>
        </w:rPr>
        <w:t>Open MRS является открытым бесплатным ресурсом, который рекомендуется специалистами ВОЗ и других международных организаций в качестве основы для создания национальных систем надзора или электронных регистров. В настоящее время имеется достаточно большой опыт работы с данной системой в других странах, например, в Кении, Руанде, Лесото, Зимбабве, Танзании, Мозамбике, Уганде, Гаити, Индии, Филиппинах, Китае, Пакистане и других.</w:t>
      </w:r>
    </w:p>
    <w:p w14:paraId="3DB1794B" w14:textId="77777777" w:rsidR="004E0968" w:rsidRDefault="00FD7C58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FD7C58">
        <w:rPr>
          <w:rFonts w:ascii="Times New Roman" w:hAnsi="Times New Roman" w:cs="Times New Roman"/>
        </w:rPr>
        <w:t>Open</w:t>
      </w:r>
      <w:r w:rsidRPr="00FD7C58">
        <w:rPr>
          <w:rFonts w:ascii="Times New Roman" w:hAnsi="Times New Roman" w:cs="Times New Roman"/>
          <w:lang w:val="ru-RU"/>
        </w:rPr>
        <w:t xml:space="preserve"> </w:t>
      </w:r>
      <w:r w:rsidRPr="00FD7C58">
        <w:rPr>
          <w:rFonts w:ascii="Times New Roman" w:hAnsi="Times New Roman" w:cs="Times New Roman"/>
        </w:rPr>
        <w:t>MRS</w:t>
      </w:r>
      <w:r w:rsidRPr="00FD7C58">
        <w:rPr>
          <w:rFonts w:ascii="Times New Roman" w:hAnsi="Times New Roman" w:cs="Times New Roman"/>
          <w:lang w:val="ru-RU"/>
        </w:rPr>
        <w:t xml:space="preserve"> позволяет создавать </w:t>
      </w:r>
      <w:r w:rsidRPr="00FD7C58">
        <w:rPr>
          <w:rFonts w:ascii="Times New Roman" w:hAnsi="Times New Roman" w:cs="Times New Roman"/>
        </w:rPr>
        <w:t>web</w:t>
      </w:r>
      <w:r w:rsidRPr="00FD7C58">
        <w:rPr>
          <w:rFonts w:ascii="Times New Roman" w:hAnsi="Times New Roman" w:cs="Times New Roman"/>
          <w:lang w:val="ru-RU"/>
        </w:rPr>
        <w:t>-распределенную гибкую платформу, на основе которой можно настраивать электронные базы данных медицинских записей.</w:t>
      </w:r>
    </w:p>
    <w:p w14:paraId="5C871A8C" w14:textId="77777777" w:rsidR="004E0968" w:rsidRDefault="00FD7C58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FD7C58">
        <w:rPr>
          <w:rFonts w:ascii="Times New Roman" w:hAnsi="Times New Roman" w:cs="Times New Roman"/>
          <w:lang w:val="ru-RU"/>
        </w:rPr>
        <w:t>В начале внедрения системы в Республике Таджикистан E-TB регистр включал модуль «DOTS/DOTS+», который должен был обеспечивать контроль регистрации (выявления и диагностики) и лечения больных, проходящих лечение препаратами как первого (ППР), так и второго ряда (ПВР), которые используются для ведения больных туберкулезом с множественной и широкой лекарственной устойчивостью возбудителя. (МЛУ/ШЛУ МБТ)</w:t>
      </w:r>
    </w:p>
    <w:p w14:paraId="46124C2B" w14:textId="77777777" w:rsidR="004E0968" w:rsidRDefault="00FD7C58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FD7C58">
        <w:rPr>
          <w:rFonts w:ascii="Times New Roman" w:hAnsi="Times New Roman" w:cs="Times New Roman"/>
          <w:lang w:val="ru-RU"/>
        </w:rPr>
        <w:t xml:space="preserve">Система </w:t>
      </w:r>
      <w:r w:rsidRPr="00FD7C58">
        <w:rPr>
          <w:rFonts w:ascii="Times New Roman" w:hAnsi="Times New Roman" w:cs="Times New Roman"/>
        </w:rPr>
        <w:t>E</w:t>
      </w:r>
      <w:r w:rsidRPr="00FD7C58">
        <w:rPr>
          <w:rFonts w:ascii="Times New Roman" w:hAnsi="Times New Roman" w:cs="Times New Roman"/>
          <w:lang w:val="ru-RU"/>
        </w:rPr>
        <w:t>-</w:t>
      </w:r>
      <w:r w:rsidRPr="00FD7C58">
        <w:rPr>
          <w:rFonts w:ascii="Times New Roman" w:hAnsi="Times New Roman" w:cs="Times New Roman"/>
        </w:rPr>
        <w:t>TB</w:t>
      </w:r>
      <w:r w:rsidRPr="00FD7C58">
        <w:rPr>
          <w:rFonts w:ascii="Times New Roman" w:hAnsi="Times New Roman" w:cs="Times New Roman"/>
          <w:lang w:val="ru-RU"/>
        </w:rPr>
        <w:t xml:space="preserve"> была установлена в восьми пилотных сайтах Республики при </w:t>
      </w:r>
      <w:r w:rsidR="00D212BB">
        <w:rPr>
          <w:rFonts w:ascii="Times New Roman" w:hAnsi="Times New Roman" w:cs="Times New Roman"/>
          <w:lang w:val="ru-RU"/>
        </w:rPr>
        <w:t xml:space="preserve">финансовой </w:t>
      </w:r>
      <w:r w:rsidRPr="00FD7C58">
        <w:rPr>
          <w:rFonts w:ascii="Times New Roman" w:hAnsi="Times New Roman" w:cs="Times New Roman"/>
          <w:lang w:val="ru-RU"/>
        </w:rPr>
        <w:t xml:space="preserve">поддержке </w:t>
      </w:r>
      <w:r w:rsidR="00D212BB">
        <w:rPr>
          <w:rFonts w:ascii="Times New Roman" w:hAnsi="Times New Roman" w:cs="Times New Roman"/>
          <w:lang w:val="ru-RU"/>
        </w:rPr>
        <w:t xml:space="preserve">Глобального Фонда и технической поддержке </w:t>
      </w:r>
      <w:r w:rsidRPr="00FD7C58">
        <w:rPr>
          <w:rFonts w:ascii="Times New Roman" w:hAnsi="Times New Roman" w:cs="Times New Roman"/>
          <w:lang w:val="ru-RU"/>
        </w:rPr>
        <w:t xml:space="preserve">IRD и ВОЗ. </w:t>
      </w:r>
      <w:r w:rsidRPr="00FD7C58">
        <w:rPr>
          <w:rFonts w:ascii="Times New Roman" w:hAnsi="Times New Roman" w:cs="Times New Roman"/>
        </w:rPr>
        <w:t>IRD</w:t>
      </w:r>
      <w:r w:rsidRPr="00FD7C58">
        <w:rPr>
          <w:rFonts w:ascii="Times New Roman" w:hAnsi="Times New Roman" w:cs="Times New Roman"/>
          <w:lang w:val="ru-RU"/>
        </w:rPr>
        <w:t xml:space="preserve"> обеспечивала установку серверов, налаживание отдельных программных модулей, разработку руководства пользователя, устранение неполадок и т.п., а специалисты ВОЗ отвечали за проведение тренингов.</w:t>
      </w:r>
    </w:p>
    <w:p w14:paraId="4700E942" w14:textId="77777777" w:rsidR="004E0968" w:rsidRDefault="00FD7C58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FD7C58">
        <w:rPr>
          <w:rFonts w:ascii="Times New Roman" w:hAnsi="Times New Roman" w:cs="Times New Roman"/>
          <w:lang w:val="ru-RU"/>
        </w:rPr>
        <w:t xml:space="preserve">На этом этапе E-TB регистр обеспечивал достаточно эффективную работу с вводимой в регистр информацией на пациента, </w:t>
      </w:r>
      <w:r w:rsidR="00CC6AE2">
        <w:rPr>
          <w:rFonts w:ascii="Times New Roman" w:hAnsi="Times New Roman" w:cs="Times New Roman"/>
          <w:lang w:val="ru-RU"/>
        </w:rPr>
        <w:t>включая поиск и контроль с</w:t>
      </w:r>
      <w:r w:rsidRPr="00FD7C58">
        <w:rPr>
          <w:rFonts w:ascii="Times New Roman" w:hAnsi="Times New Roman" w:cs="Times New Roman"/>
          <w:lang w:val="ru-RU"/>
        </w:rPr>
        <w:t xml:space="preserve">ведений о возможных предыдущих эпизодах лечения данного больного (за 2007-2013 гг.) , которые были ретроспективно введены при внедрении системы. </w:t>
      </w:r>
    </w:p>
    <w:p w14:paraId="0112215B" w14:textId="77777777" w:rsidR="00CA0B71" w:rsidRPr="009C6F70" w:rsidRDefault="00305918" w:rsidP="009C6F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F70">
        <w:rPr>
          <w:rFonts w:ascii="Times New Roman" w:hAnsi="Times New Roman" w:cs="Times New Roman"/>
          <w:sz w:val="24"/>
          <w:szCs w:val="24"/>
          <w:lang w:val="ru-RU"/>
        </w:rPr>
        <w:t>В 2015</w:t>
      </w:r>
      <w:r w:rsidR="001E7574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году 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615303" w:rsidRPr="009C6F7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25ED" w:rsidRPr="009C6F70">
        <w:rPr>
          <w:rFonts w:ascii="Times New Roman" w:hAnsi="Times New Roman" w:cs="Times New Roman"/>
          <w:sz w:val="24"/>
          <w:szCs w:val="24"/>
        </w:rPr>
        <w:t>USAID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по борьбе с туберкулезом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в Центральной Азии, реализуемой </w:t>
      </w:r>
      <w:r w:rsidR="00345137" w:rsidRPr="009C6F70">
        <w:rPr>
          <w:rFonts w:ascii="Times New Roman" w:hAnsi="Times New Roman" w:cs="Times New Roman"/>
          <w:sz w:val="24"/>
          <w:szCs w:val="24"/>
        </w:rPr>
        <w:t>Project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137" w:rsidRPr="009C6F70">
        <w:rPr>
          <w:rFonts w:ascii="Times New Roman" w:hAnsi="Times New Roman" w:cs="Times New Roman"/>
          <w:sz w:val="24"/>
          <w:szCs w:val="24"/>
        </w:rPr>
        <w:t>HOPE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была начата работа по модернизации </w:t>
      </w:r>
      <w:r w:rsidR="001E7574" w:rsidRPr="009C6F70">
        <w:rPr>
          <w:rFonts w:ascii="Times New Roman" w:hAnsi="Times New Roman" w:cs="Times New Roman"/>
          <w:sz w:val="24"/>
          <w:szCs w:val="24"/>
        </w:rPr>
        <w:t>E</w:t>
      </w:r>
      <w:r w:rsidR="001E7574" w:rsidRPr="009C6F7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E7574" w:rsidRPr="009C6F70">
        <w:rPr>
          <w:rFonts w:ascii="Times New Roman" w:hAnsi="Times New Roman" w:cs="Times New Roman"/>
          <w:sz w:val="24"/>
          <w:szCs w:val="24"/>
        </w:rPr>
        <w:t>TB</w:t>
      </w:r>
      <w:r w:rsidR="001E7574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1136" w:rsidRPr="009C6F70">
        <w:rPr>
          <w:rFonts w:ascii="Times New Roman" w:hAnsi="Times New Roman" w:cs="Times New Roman"/>
          <w:sz w:val="24"/>
          <w:szCs w:val="24"/>
          <w:lang w:val="ru-RU"/>
        </w:rPr>
        <w:t>регистр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в РТ</w:t>
      </w:r>
      <w:r w:rsidR="00B97F27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B97F27" w:rsidRPr="009C6F70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учетом рассмотренных выше принципов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F27" w:rsidRPr="009C6F70">
        <w:rPr>
          <w:rFonts w:ascii="Times New Roman" w:hAnsi="Times New Roman" w:cs="Times New Roman"/>
          <w:sz w:val="24"/>
          <w:szCs w:val="24"/>
          <w:lang w:val="ru-RU"/>
        </w:rPr>
        <w:t>создания СЭН</w:t>
      </w:r>
      <w:r w:rsidR="00CA0B71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>рекомендаци</w:t>
      </w:r>
      <w:r w:rsidR="00CA0B71" w:rsidRPr="009C6F70">
        <w:rPr>
          <w:rFonts w:ascii="Times New Roman" w:hAnsi="Times New Roman" w:cs="Times New Roman"/>
          <w:sz w:val="24"/>
          <w:szCs w:val="24"/>
          <w:lang w:val="ru-RU"/>
        </w:rPr>
        <w:t>й, сделанных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в рамках миссий международных консультантов в 2015-2018 гг.</w:t>
      </w:r>
      <w:r w:rsidR="00CA0B71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966020" w14:textId="77777777" w:rsidR="007A25ED" w:rsidRPr="009C6F70" w:rsidRDefault="00CA0B71" w:rsidP="009C6F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F70">
        <w:rPr>
          <w:rFonts w:ascii="Times New Roman" w:hAnsi="Times New Roman" w:cs="Times New Roman"/>
          <w:sz w:val="24"/>
          <w:szCs w:val="24"/>
          <w:lang w:val="ru-RU"/>
        </w:rPr>
        <w:t>В результате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были существенно модифицированы функционалы ввода и вывода данных, которые стали отвечать как </w:t>
      </w:r>
      <w:r w:rsidR="00A955A3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 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>национальной систем</w:t>
      </w:r>
      <w:r w:rsidR="00A955A3" w:rsidRPr="009C6F7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учета и отчетности, так и дефинициям ВОЗ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C6AE2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2015 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CC6AE2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при РЦЗНТ была 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>организована тематическая рабочая группа (ТРГ) по ведению и совершенствованию регистра, которая включ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>ила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основных специалистов из НТП и международных </w:t>
      </w:r>
      <w:r w:rsidR="00CC6AE2" w:rsidRPr="009C6F70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, которой </w:t>
      </w:r>
      <w:r w:rsidR="007A25ED" w:rsidRPr="009C6F70">
        <w:rPr>
          <w:rFonts w:ascii="Times New Roman" w:hAnsi="Times New Roman" w:cs="Times New Roman"/>
          <w:sz w:val="24"/>
          <w:szCs w:val="24"/>
          <w:lang w:val="ru-RU"/>
        </w:rPr>
        <w:t>принимаются решения об изменении структуры данных, входных и выходных форм, определяются запросы для изменения в функционале системы.</w:t>
      </w:r>
    </w:p>
    <w:p w14:paraId="36F26AB7" w14:textId="77777777" w:rsidR="00CA0B71" w:rsidRPr="009C6F70" w:rsidRDefault="00CA0B71" w:rsidP="009C6F7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рамках разработки DOTS/DOTS+ (основного) модуля E-TB регистра были определены источники данных, в качестве которых взяты журналы ведения больных туберкулезом с сохраненной чувствительностью к основным противотуберкулезным препаратам (ТБ-03) и больных туберкулезом с МЛУ МБТ (ТБ-03у)</w:t>
      </w:r>
      <w:r w:rsidR="00CC6AE2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форма «Извещение о впервые выявленном больном туберкулезом» (№089). </w:t>
      </w:r>
      <w:r w:rsidR="00CC6AE2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 реализован  ввод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регистр</w:t>
      </w:r>
      <w:r w:rsidR="00CC6AE2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информации из указанных форм, а также некоторых данных</w:t>
      </w:r>
      <w:r w:rsidR="00697A06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таких, как вес пацента, режимы лечения и т.д., -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из карты </w:t>
      </w:r>
      <w:r w:rsidR="00CC6AE2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лечения (</w:t>
      </w:r>
      <w:r w:rsidR="00697A06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№ 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ТБ-01</w:t>
      </w:r>
      <w:r w:rsidR="00697A06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CF4D194" w14:textId="77777777" w:rsidR="00CA0B71" w:rsidRPr="009C6F70" w:rsidRDefault="00CA0B71" w:rsidP="009C6F7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 № 089 является учетной формой регистрации нового случая заболевания. Она была внедрена на территории Республики Таджикистан со времен СССР (аналогичная учетная форма сохранилась в большинстве бывших стран СССР</w:t>
      </w:r>
      <w:r w:rsidR="00697A06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включая Российскую Федерацию). Данную форму 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использу</w:t>
      </w:r>
      <w:r w:rsidR="00697A06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 при формировании государственных форм отчетности по новым случаям </w:t>
      </w:r>
      <w:r w:rsidR="005777C7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заболевания 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="00E0150A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</w:t>
      </w:r>
      <w:r w:rsidR="00E0150A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едении 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</w:t>
      </w:r>
      <w:r w:rsidR="00E0150A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 </w:t>
      </w:r>
      <w:r w:rsidR="005777C7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действенности мероприятий по выявлению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туберкулеза. </w:t>
      </w:r>
      <w:r w:rsidR="00774478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Поэтому е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е использование в качестве одного из </w:t>
      </w:r>
      <w:r w:rsidR="00774478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основных 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источников данных </w:t>
      </w:r>
      <w:r w:rsidR="00774478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регистрации пациента в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E-TB регистр</w:t>
      </w:r>
      <w:r w:rsidR="00774478"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9C6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позволило повысить значимость последнего, как элемента национальной системы электронного здравоохранения, повысить заинтересованность пользователей в работе с регистром и обеспечить получение из одного источника всей основной отчетности по туберкулезу, запрашиваемой в Республике.</w:t>
      </w:r>
    </w:p>
    <w:p w14:paraId="2718C387" w14:textId="77777777" w:rsidR="007A25ED" w:rsidRPr="009C6F70" w:rsidRDefault="007A25ED" w:rsidP="009C6F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В 2016-2017 гг. </w:t>
      </w:r>
      <w:r w:rsidR="003D3370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сотрудниками 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3D337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5137" w:rsidRPr="009C6F70">
        <w:rPr>
          <w:rFonts w:ascii="Times New Roman" w:hAnsi="Times New Roman" w:cs="Times New Roman"/>
          <w:sz w:val="24"/>
          <w:szCs w:val="24"/>
        </w:rPr>
        <w:t>USAID</w:t>
      </w:r>
      <w:r w:rsidR="003D3370">
        <w:rPr>
          <w:rFonts w:ascii="Times New Roman" w:hAnsi="Times New Roman" w:cs="Times New Roman"/>
          <w:sz w:val="24"/>
          <w:szCs w:val="24"/>
          <w:lang w:val="ru-RU"/>
        </w:rPr>
        <w:t xml:space="preserve"> по борьбе с туберкулезом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</w:t>
      </w:r>
      <w:r w:rsidR="003D3370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лабораторный модуль, </w:t>
      </w:r>
      <w:r w:rsidR="00615303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который 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>позволяет вводить практически все данные о лабораторных исследованиях, проводимых в Р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: бактериоскопии, посева на жидких и плотных средах, 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быстрых тестов, основанных на молекулярно-генетическом анализе </w:t>
      </w:r>
      <w:r w:rsidR="00345137" w:rsidRPr="009C6F70">
        <w:rPr>
          <w:rFonts w:ascii="Times New Roman" w:hAnsi="Times New Roman" w:cs="Times New Roman"/>
          <w:sz w:val="24"/>
          <w:szCs w:val="24"/>
          <w:lang w:val="ru-RU"/>
        </w:rPr>
        <w:lastRenderedPageBreak/>
        <w:t>(</w:t>
      </w:r>
      <w:r w:rsidR="00724146" w:rsidRPr="009C6F70">
        <w:rPr>
          <w:rFonts w:ascii="Times New Roman" w:hAnsi="Times New Roman" w:cs="Times New Roman"/>
          <w:sz w:val="24"/>
          <w:szCs w:val="24"/>
        </w:rPr>
        <w:t>MTB</w:t>
      </w:r>
      <w:r w:rsidR="00724146" w:rsidRPr="009C6F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24146" w:rsidRPr="009C6F70">
        <w:rPr>
          <w:rFonts w:ascii="Times New Roman" w:hAnsi="Times New Roman" w:cs="Times New Roman"/>
          <w:sz w:val="24"/>
          <w:szCs w:val="24"/>
        </w:rPr>
        <w:t>R</w:t>
      </w:r>
      <w:r w:rsidR="002B7B9F" w:rsidRPr="009C6F70">
        <w:rPr>
          <w:rFonts w:ascii="Times New Roman" w:hAnsi="Times New Roman" w:cs="Times New Roman"/>
          <w:sz w:val="24"/>
          <w:szCs w:val="24"/>
        </w:rPr>
        <w:t>if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24146" w:rsidRPr="009C6F70">
        <w:rPr>
          <w:rFonts w:ascii="Times New Roman" w:hAnsi="Times New Roman" w:cs="Times New Roman"/>
          <w:sz w:val="24"/>
          <w:szCs w:val="24"/>
        </w:rPr>
        <w:t>LPA</w:t>
      </w:r>
      <w:r w:rsidR="00724146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627580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чувствительности к противотуберкулезным 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615303" w:rsidRPr="009C6F70">
        <w:rPr>
          <w:rFonts w:ascii="Times New Roman" w:hAnsi="Times New Roman" w:cs="Times New Roman"/>
          <w:sz w:val="24"/>
          <w:szCs w:val="24"/>
          <w:lang w:val="ru-RU"/>
        </w:rPr>
        <w:t>епарат</w:t>
      </w:r>
      <w:r w:rsidR="00627580" w:rsidRPr="009C6F70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615303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первого и второго ряда</w:t>
      </w:r>
      <w:r w:rsidR="00627580" w:rsidRPr="009C6F7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74478" w:rsidRPr="009C6F70">
        <w:rPr>
          <w:rFonts w:ascii="Times New Roman" w:hAnsi="Times New Roman" w:cs="Times New Roman"/>
          <w:sz w:val="24"/>
          <w:szCs w:val="24"/>
          <w:lang w:val="ru-RU"/>
        </w:rPr>
        <w:t>. Параллельно</w:t>
      </w:r>
      <w:r w:rsidR="00615303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был 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>создан комплект отчетных форм для лабораторий.</w:t>
      </w:r>
    </w:p>
    <w:p w14:paraId="7C11E4AF" w14:textId="77777777" w:rsidR="009C6F70" w:rsidRDefault="009B68E3" w:rsidP="009C6F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C6F70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эти же годы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6F70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3D3370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рограммы </w:t>
      </w:r>
      <w:r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USAID </w:t>
      </w:r>
      <w:r w:rsidR="003D3370">
        <w:rPr>
          <w:rFonts w:ascii="Times New Roman" w:hAnsi="Times New Roman" w:cs="Times New Roman"/>
          <w:sz w:val="24"/>
          <w:szCs w:val="24"/>
          <w:lang w:val="ru-RU"/>
        </w:rPr>
        <w:t>по борьбе с туберкулезом</w:t>
      </w:r>
      <w:r w:rsidR="003D3370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F70" w:rsidRPr="009C6F70">
        <w:rPr>
          <w:rFonts w:ascii="Times New Roman" w:hAnsi="Times New Roman" w:cs="Times New Roman"/>
          <w:sz w:val="24"/>
          <w:szCs w:val="24"/>
          <w:lang w:val="ru-RU"/>
        </w:rPr>
        <w:t>были проведены тренинги по обучению специалистов работе на модуле DOTS/DOTS+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9B68E3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мониторинговы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B68E3">
        <w:rPr>
          <w:rFonts w:ascii="Times New Roman" w:hAnsi="Times New Roman" w:cs="Times New Roman"/>
          <w:sz w:val="24"/>
          <w:szCs w:val="24"/>
          <w:lang w:val="ru-RU"/>
        </w:rPr>
        <w:t xml:space="preserve"> визит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в районы,  </w:t>
      </w:r>
      <w:r w:rsidR="009C6F70" w:rsidRPr="009C6F70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предоставлены персональные компьютеры (ноутбуки), определены наиболее качественные провайдеры Интернет-услуг в территориях, что позволило к 2017 году практически снять проблему низкого качества связи. </w:t>
      </w:r>
    </w:p>
    <w:p w14:paraId="557F1B30" w14:textId="77777777" w:rsidR="00EE1F7A" w:rsidRPr="009C6F70" w:rsidRDefault="00EE1F7A" w:rsidP="009C6F7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F7A">
        <w:rPr>
          <w:rFonts w:ascii="Times New Roman" w:hAnsi="Times New Roman" w:cs="Times New Roman"/>
          <w:sz w:val="24"/>
          <w:szCs w:val="24"/>
          <w:lang w:val="ru-RU"/>
        </w:rPr>
        <w:t>За этот же период времени были улучшены навыки по работе на компьютере и с данной системой у более 260 медработников ТБ Центров и лабораторных специалистов.</w:t>
      </w:r>
    </w:p>
    <w:p w14:paraId="0D941C06" w14:textId="63CD42BB" w:rsidR="00EE1F7A" w:rsidRDefault="009B68E3" w:rsidP="00F06A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8E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C6F70" w:rsidRPr="009B68E3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результате </w:t>
      </w:r>
      <w:r w:rsidRPr="009B68E3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проведенных работ </w:t>
      </w:r>
      <w:r w:rsidR="009C6F70" w:rsidRPr="009B68E3">
        <w:rPr>
          <w:rFonts w:ascii="Times New Roman" w:hAnsi="Times New Roman" w:cs="Times New Roman"/>
          <w:sz w:val="24"/>
          <w:szCs w:val="24"/>
          <w:lang w:val="ru-RU"/>
        </w:rPr>
        <w:t xml:space="preserve">к сентябрю 2018 г. регистр был внедрен во всех 82 </w:t>
      </w:r>
      <w:r w:rsidR="003D3370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медицинских </w:t>
      </w:r>
      <w:r w:rsidR="009C6F70" w:rsidRPr="009B68E3">
        <w:rPr>
          <w:rFonts w:ascii="Times New Roman" w:hAnsi="Times New Roman" w:cs="Times New Roman"/>
          <w:sz w:val="24"/>
          <w:szCs w:val="24"/>
          <w:lang w:val="ru-RU"/>
        </w:rPr>
        <w:t>учреждениях, осуществляющих противотуберкулезную помощь населению РТ и работающих с данными по выявлению и лечению больных туберкулезом</w:t>
      </w:r>
      <w:r w:rsidRPr="009B68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485F293" w14:textId="18CADF96" w:rsidR="00F06A76" w:rsidRDefault="00F06A76" w:rsidP="00F06A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F03A8F" w14:textId="50035B36" w:rsidR="00F06A76" w:rsidRDefault="00F06A76" w:rsidP="00F06A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CF0999" w14:textId="77777777" w:rsidR="00F06A76" w:rsidRDefault="00F06A76" w:rsidP="00F06A76">
      <w:pPr>
        <w:spacing w:after="0" w:line="360" w:lineRule="auto"/>
        <w:ind w:firstLine="720"/>
        <w:jc w:val="both"/>
        <w:rPr>
          <w:lang w:val="ru-RU"/>
        </w:rPr>
      </w:pPr>
    </w:p>
    <w:p w14:paraId="0603D9D1" w14:textId="77777777" w:rsidR="009B68E3" w:rsidRDefault="00EE1F7A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  <w:r w:rsidRPr="00B63256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87936" behindDoc="0" locked="0" layoutInCell="1" allowOverlap="1" wp14:anchorId="35E63F0D" wp14:editId="5D0DB781">
            <wp:simplePos x="0" y="0"/>
            <wp:positionH relativeFrom="column">
              <wp:posOffset>688975</wp:posOffset>
            </wp:positionH>
            <wp:positionV relativeFrom="paragraph">
              <wp:posOffset>-641985</wp:posOffset>
            </wp:positionV>
            <wp:extent cx="4025265" cy="28270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282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7CCEA" w14:textId="77777777" w:rsidR="009B68E3" w:rsidRDefault="009B68E3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780D0A5E" w14:textId="77777777" w:rsidR="009B68E3" w:rsidRDefault="009B68E3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27539E6D" w14:textId="77777777" w:rsidR="009B68E3" w:rsidRDefault="009B68E3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4DF19330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47A87F3D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26262918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210340B5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14D62212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75E5B67F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08971B8E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2808BBFA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722031CB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58233FFE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5B5AC7DE" w14:textId="5860DE9F" w:rsidR="000B77F4" w:rsidRPr="000B77F4" w:rsidRDefault="000B77F4" w:rsidP="009C6F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7F4">
        <w:rPr>
          <w:rFonts w:ascii="Times New Roman" w:hAnsi="Times New Roman" w:cs="Times New Roman"/>
          <w:sz w:val="24"/>
          <w:szCs w:val="24"/>
          <w:lang w:val="ru-RU"/>
        </w:rPr>
        <w:t>С 1 октября 2017 г.</w:t>
      </w:r>
    </w:p>
    <w:p w14:paraId="44B26C43" w14:textId="77777777" w:rsidR="000B77F4" w:rsidRDefault="000B77F4" w:rsidP="009C6F70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  <w:r w:rsidRPr="00B63256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86912" behindDoc="0" locked="0" layoutInCell="1" allowOverlap="1" wp14:anchorId="7245AB46" wp14:editId="75C88D58">
            <wp:simplePos x="0" y="0"/>
            <wp:positionH relativeFrom="column">
              <wp:posOffset>403225</wp:posOffset>
            </wp:positionH>
            <wp:positionV relativeFrom="paragraph">
              <wp:posOffset>118745</wp:posOffset>
            </wp:positionV>
            <wp:extent cx="560705" cy="2070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F00D4D" w14:textId="77777777" w:rsidR="009B68E3" w:rsidRDefault="000B77F4" w:rsidP="009C6F70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Arial" w:hAnsi="Arial" w:cs="Arial"/>
          <w:lang w:val="ru-RU"/>
        </w:rPr>
        <w:tab/>
        <w:t xml:space="preserve">   - </w:t>
      </w:r>
      <w:r w:rsidRPr="000B77F4">
        <w:rPr>
          <w:rFonts w:ascii="Times New Roman" w:hAnsi="Times New Roman" w:cs="Times New Roman"/>
          <w:sz w:val="24"/>
          <w:szCs w:val="24"/>
          <w:lang w:val="ru-RU"/>
        </w:rPr>
        <w:t>районы, охваченные</w:t>
      </w:r>
      <w:r>
        <w:rPr>
          <w:rFonts w:ascii="Arial" w:hAnsi="Arial" w:cs="Arial"/>
          <w:lang w:val="ru-RU"/>
        </w:rPr>
        <w:t xml:space="preserve"> </w:t>
      </w:r>
      <w:r w:rsidRPr="000B77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E-TB регистр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ом</w:t>
      </w:r>
    </w:p>
    <w:p w14:paraId="133AF6FA" w14:textId="77777777" w:rsidR="000B77F4" w:rsidRPr="000B77F4" w:rsidRDefault="000B77F4" w:rsidP="000B7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7F4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29E35EFC" wp14:editId="12BFA053">
            <wp:extent cx="182880" cy="175260"/>
            <wp:effectExtent l="0" t="0" r="7620" b="0"/>
            <wp:docPr id="18" name="Picture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F4">
        <w:rPr>
          <w:rFonts w:ascii="Times New Roman" w:hAnsi="Times New Roman" w:cs="Times New Roman"/>
          <w:sz w:val="24"/>
          <w:szCs w:val="24"/>
          <w:lang w:val="ru-RU"/>
        </w:rPr>
        <w:t>- Точки контроля данных (6)</w:t>
      </w:r>
    </w:p>
    <w:p w14:paraId="58218A8B" w14:textId="77777777" w:rsidR="000B77F4" w:rsidRPr="000B77F4" w:rsidRDefault="000B77F4" w:rsidP="000B7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7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763B29" wp14:editId="3EC877C6">
            <wp:extent cx="182880" cy="160020"/>
            <wp:effectExtent l="0" t="0" r="7620" b="0"/>
            <wp:docPr id="19" name="Picture 7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titled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F4">
        <w:rPr>
          <w:rFonts w:ascii="Times New Roman" w:hAnsi="Times New Roman" w:cs="Times New Roman"/>
          <w:sz w:val="24"/>
          <w:szCs w:val="24"/>
          <w:lang w:val="ru-RU"/>
        </w:rPr>
        <w:t xml:space="preserve"> - Точки ввода данных (76)</w:t>
      </w:r>
    </w:p>
    <w:p w14:paraId="19CCD967" w14:textId="77777777" w:rsidR="009B68E3" w:rsidRPr="000B77F4" w:rsidRDefault="000B77F4" w:rsidP="009C6F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7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Рис</w:t>
      </w:r>
      <w:r w:rsidR="00FD7C58" w:rsidRPr="00FD7C5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Pr="000B77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1. Реализация E-TB регистра в РТ</w:t>
      </w:r>
    </w:p>
    <w:p w14:paraId="62BD1544" w14:textId="77777777" w:rsidR="009B68E3" w:rsidRPr="005160A9" w:rsidRDefault="005160A9" w:rsidP="009C6F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BA7C5A4" wp14:editId="5E55EED5">
            <wp:simplePos x="0" y="0"/>
            <wp:positionH relativeFrom="column">
              <wp:posOffset>351559</wp:posOffset>
            </wp:positionH>
            <wp:positionV relativeFrom="paragraph">
              <wp:posOffset>89741</wp:posOffset>
            </wp:positionV>
            <wp:extent cx="5526727" cy="1169719"/>
            <wp:effectExtent l="1905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27" cy="116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E5AB2C" w14:textId="77777777" w:rsidR="005160A9" w:rsidRPr="005160A9" w:rsidRDefault="005160A9" w:rsidP="0051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E465D1" w14:textId="77777777" w:rsidR="005160A9" w:rsidRDefault="005160A9" w:rsidP="00516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22CA90" w14:textId="77777777" w:rsidR="005160A9" w:rsidRDefault="005160A9" w:rsidP="00516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19C4D" w14:textId="77777777" w:rsidR="005160A9" w:rsidRDefault="005160A9" w:rsidP="00516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961357" w14:textId="77777777" w:rsidR="005160A9" w:rsidRDefault="005160A9" w:rsidP="00516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70988C" w14:textId="77777777" w:rsidR="005160A9" w:rsidRPr="005160A9" w:rsidRDefault="005160A9" w:rsidP="00516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98DF37" w14:textId="77777777" w:rsidR="005160A9" w:rsidRPr="005160A9" w:rsidRDefault="005160A9" w:rsidP="005160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B82F33" w14:textId="77777777" w:rsidR="005160A9" w:rsidRPr="005160A9" w:rsidRDefault="005160A9" w:rsidP="00516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A9">
        <w:rPr>
          <w:rFonts w:ascii="Times New Roman" w:hAnsi="Times New Roman" w:cs="Times New Roman"/>
          <w:sz w:val="24"/>
          <w:szCs w:val="24"/>
          <w:lang w:val="ru-RU"/>
        </w:rPr>
        <w:t>Рис. 2.  Организационная структура E-TB Регистра</w:t>
      </w:r>
    </w:p>
    <w:p w14:paraId="08F798CA" w14:textId="77777777" w:rsidR="005160A9" w:rsidRPr="005160A9" w:rsidRDefault="005160A9" w:rsidP="009C6F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AD2805" w14:textId="77777777" w:rsidR="009C6F70" w:rsidRPr="000B1E69" w:rsidRDefault="000B77F4" w:rsidP="000B1E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реализации регистра 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>были выделены точки ввода данных (всего – 76 учреждений) и точки контроля данных (6 учреждений)</w:t>
      </w:r>
      <w:r w:rsidR="00E071F8">
        <w:rPr>
          <w:rFonts w:ascii="Times New Roman" w:hAnsi="Times New Roman" w:cs="Times New Roman"/>
          <w:sz w:val="24"/>
          <w:szCs w:val="24"/>
          <w:lang w:val="ru-RU"/>
        </w:rPr>
        <w:t>, рис. 1 и 2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1F7A" w:rsidRPr="000B1E69">
        <w:rPr>
          <w:rFonts w:ascii="Times New Roman" w:hAnsi="Times New Roman" w:cs="Times New Roman"/>
          <w:sz w:val="24"/>
          <w:szCs w:val="24"/>
          <w:lang w:val="ru-RU"/>
        </w:rPr>
        <w:t>Точкой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данных</w:t>
      </w:r>
      <w:r w:rsidR="00EE1F7A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рассматривают 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>учреждение на региональном или национальном уровне, которое агрегирует и верифицируе</w:t>
      </w:r>
      <w:r w:rsidR="00EE1F7A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т данные, введённые на районном или 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городском уровне. </w:t>
      </w:r>
      <w:r w:rsidR="00EE1F7A" w:rsidRPr="000B1E69">
        <w:rPr>
          <w:rFonts w:ascii="Times New Roman" w:hAnsi="Times New Roman" w:cs="Times New Roman"/>
          <w:sz w:val="24"/>
          <w:szCs w:val="24"/>
          <w:lang w:val="ru-RU"/>
        </w:rPr>
        <w:t>Точкой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 ввода данных </w:t>
      </w:r>
      <w:r w:rsidR="00EE1F7A" w:rsidRPr="000B1E69">
        <w:rPr>
          <w:rFonts w:ascii="Times New Roman" w:hAnsi="Times New Roman" w:cs="Times New Roman"/>
          <w:sz w:val="24"/>
          <w:szCs w:val="24"/>
          <w:lang w:val="ru-RU"/>
        </w:rPr>
        <w:t>считают учреждение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 на районном или </w:t>
      </w:r>
      <w:r w:rsidR="00EE1F7A" w:rsidRPr="000B1E69">
        <w:rPr>
          <w:rFonts w:ascii="Times New Roman" w:hAnsi="Times New Roman" w:cs="Times New Roman"/>
          <w:sz w:val="24"/>
          <w:szCs w:val="24"/>
          <w:lang w:val="ru-RU"/>
        </w:rPr>
        <w:t>городском уровне, которое собирает и вводит данные в E-TB Регистр с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 бумажных носителей. В </w:t>
      </w:r>
      <w:r w:rsidR="00EE1F7A"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этих </w:t>
      </w:r>
      <w:r w:rsidR="009C6F70" w:rsidRPr="000B1E69">
        <w:rPr>
          <w:rFonts w:ascii="Times New Roman" w:hAnsi="Times New Roman" w:cs="Times New Roman"/>
          <w:sz w:val="24"/>
          <w:szCs w:val="24"/>
          <w:lang w:val="ru-RU"/>
        </w:rPr>
        <w:t>же учреждениях был организован ввод данных в лабораториях с осуществлением контроля полноты введенных сведений.</w:t>
      </w:r>
    </w:p>
    <w:p w14:paraId="48E217F8" w14:textId="77777777" w:rsidR="009C6F70" w:rsidRPr="000B1E69" w:rsidRDefault="009C6F70" w:rsidP="000B1E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На этом уровне использования системы также возможно получение копии </w:t>
      </w:r>
      <w:r w:rsidR="000B1E69" w:rsidRPr="000B1E69">
        <w:rPr>
          <w:rFonts w:ascii="Times New Roman" w:hAnsi="Times New Roman" w:cs="Times New Roman"/>
          <w:sz w:val="24"/>
          <w:szCs w:val="24"/>
          <w:lang w:val="ru-RU"/>
        </w:rPr>
        <w:t>направления на лабораторные исследования (</w:t>
      </w:r>
      <w:r w:rsidRPr="000B1E69">
        <w:rPr>
          <w:rFonts w:ascii="Times New Roman" w:hAnsi="Times New Roman" w:cs="Times New Roman"/>
          <w:sz w:val="24"/>
          <w:szCs w:val="24"/>
          <w:lang w:val="ru-RU"/>
        </w:rPr>
        <w:t>ТБ-05</w:t>
      </w:r>
      <w:r w:rsidR="000B1E69" w:rsidRPr="000B1E6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, журнала </w:t>
      </w:r>
      <w:r w:rsidR="000B1E69" w:rsidRPr="000B1E69">
        <w:rPr>
          <w:rFonts w:ascii="Times New Roman" w:hAnsi="Times New Roman" w:cs="Times New Roman"/>
          <w:sz w:val="24"/>
          <w:szCs w:val="24"/>
          <w:lang w:val="ru-RU"/>
        </w:rPr>
        <w:t>результатов микроскопии (</w:t>
      </w:r>
      <w:r w:rsidRPr="000B1E69">
        <w:rPr>
          <w:rFonts w:ascii="Times New Roman" w:hAnsi="Times New Roman" w:cs="Times New Roman"/>
          <w:sz w:val="24"/>
          <w:szCs w:val="24"/>
          <w:lang w:val="ru-RU"/>
        </w:rPr>
        <w:t>ТБ-04</w:t>
      </w:r>
      <w:r w:rsidR="000B1E69" w:rsidRPr="000B1E6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, бактериограммы пациента и некоторых отчетных форм по бактериоскопии, ИЛЧ и культуральным исследованиям, что повышает значимость </w:t>
      </w:r>
      <w:r w:rsidRPr="000B1E69">
        <w:rPr>
          <w:rFonts w:ascii="Times New Roman" w:hAnsi="Times New Roman" w:cs="Times New Roman"/>
          <w:sz w:val="24"/>
          <w:szCs w:val="24"/>
        </w:rPr>
        <w:t>E</w:t>
      </w:r>
      <w:r w:rsidRPr="000B1E6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B1E69">
        <w:rPr>
          <w:rFonts w:ascii="Times New Roman" w:hAnsi="Times New Roman" w:cs="Times New Roman"/>
          <w:sz w:val="24"/>
          <w:szCs w:val="24"/>
        </w:rPr>
        <w:t>TB</w:t>
      </w:r>
      <w:r w:rsidRPr="000B1E69">
        <w:rPr>
          <w:rFonts w:ascii="Times New Roman" w:hAnsi="Times New Roman" w:cs="Times New Roman"/>
          <w:sz w:val="24"/>
          <w:szCs w:val="24"/>
          <w:lang w:val="ru-RU"/>
        </w:rPr>
        <w:t xml:space="preserve"> для практической работы учреждений всех уровней, а, значит, обеспечивает ее устойчивость и возможность функционирования без внешней финансовой поддержки.</w:t>
      </w:r>
    </w:p>
    <w:p w14:paraId="75972FE7" w14:textId="77777777" w:rsidR="00F06A76" w:rsidRDefault="00F06A76" w:rsidP="007F3BBC">
      <w:pPr>
        <w:pStyle w:val="Heading1"/>
        <w:spacing w:before="0"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14:paraId="38FEA975" w14:textId="1749643D" w:rsidR="00B6433F" w:rsidRPr="007F3BBC" w:rsidRDefault="00EB20BE" w:rsidP="007F3BBC">
      <w:pPr>
        <w:pStyle w:val="Heading1"/>
        <w:spacing w:before="0"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7F3BBC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6433F" w:rsidRPr="007F3BBC">
        <w:rPr>
          <w:rFonts w:ascii="Times New Roman" w:hAnsi="Times New Roman" w:cs="Times New Roman"/>
          <w:sz w:val="24"/>
          <w:szCs w:val="24"/>
          <w:u w:val="single"/>
        </w:rPr>
        <w:t>труктура</w:t>
      </w:r>
      <w:r w:rsidRPr="007F3BBC">
        <w:rPr>
          <w:rFonts w:ascii="Times New Roman" w:hAnsi="Times New Roman" w:cs="Times New Roman"/>
          <w:sz w:val="24"/>
          <w:szCs w:val="24"/>
          <w:u w:val="single"/>
        </w:rPr>
        <w:t>, задачи</w:t>
      </w:r>
      <w:r w:rsidR="00B6433F" w:rsidRPr="007F3B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3BBC">
        <w:rPr>
          <w:rFonts w:ascii="Times New Roman" w:hAnsi="Times New Roman" w:cs="Times New Roman"/>
          <w:sz w:val="24"/>
          <w:szCs w:val="24"/>
          <w:u w:val="single"/>
        </w:rPr>
        <w:t xml:space="preserve">и функциональные возможности E-TB </w:t>
      </w:r>
      <w:r w:rsidR="00B6433F" w:rsidRPr="007F3BBC">
        <w:rPr>
          <w:rFonts w:ascii="Times New Roman" w:hAnsi="Times New Roman" w:cs="Times New Roman"/>
          <w:sz w:val="24"/>
          <w:szCs w:val="24"/>
          <w:u w:val="single"/>
        </w:rPr>
        <w:t>регистра</w:t>
      </w:r>
      <w:r w:rsidRPr="007F3BBC">
        <w:rPr>
          <w:rFonts w:ascii="Times New Roman" w:hAnsi="Times New Roman" w:cs="Times New Roman"/>
          <w:sz w:val="24"/>
          <w:szCs w:val="24"/>
          <w:u w:val="single"/>
        </w:rPr>
        <w:t xml:space="preserve"> после модернизации</w:t>
      </w:r>
    </w:p>
    <w:p w14:paraId="1CB7CF4A" w14:textId="77777777" w:rsidR="00D55E20" w:rsidRPr="007F3BBC" w:rsidRDefault="00EB20BE" w:rsidP="007F3B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Современная версия </w:t>
      </w:r>
      <w:r w:rsidRPr="007F3BBC">
        <w:rPr>
          <w:rFonts w:ascii="Times New Roman" w:hAnsi="Times New Roman" w:cs="Times New Roman"/>
          <w:sz w:val="24"/>
          <w:szCs w:val="24"/>
        </w:rPr>
        <w:t>E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F3BBC">
        <w:rPr>
          <w:rFonts w:ascii="Times New Roman" w:hAnsi="Times New Roman" w:cs="Times New Roman"/>
          <w:sz w:val="24"/>
          <w:szCs w:val="24"/>
        </w:rPr>
        <w:t>TB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D55E20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егистра 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реализует выполнение следующих </w:t>
      </w:r>
      <w:r w:rsidRPr="007F3BBC">
        <w:rPr>
          <w:rFonts w:ascii="Times New Roman" w:hAnsi="Times New Roman" w:cs="Times New Roman"/>
          <w:b/>
          <w:sz w:val="24"/>
          <w:szCs w:val="24"/>
          <w:lang w:val="ru-RU"/>
        </w:rPr>
        <w:t>задач</w:t>
      </w:r>
      <w:r w:rsidR="00D55E20" w:rsidRPr="007F3BB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297FEEE" w14:textId="77777777" w:rsidR="00627580" w:rsidRPr="007F3BBC" w:rsidRDefault="00264D6F" w:rsidP="007F3BB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B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55E20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беспечение сбора, хранения, обработки данных по </w:t>
      </w:r>
      <w:r w:rsidR="006C5C2A" w:rsidRPr="007F3BBC">
        <w:rPr>
          <w:rFonts w:ascii="Times New Roman" w:hAnsi="Times New Roman" w:cs="Times New Roman"/>
          <w:sz w:val="24"/>
          <w:szCs w:val="24"/>
          <w:lang w:val="ru-RU"/>
        </w:rPr>
        <w:t>больным туберкулезом</w:t>
      </w:r>
      <w:r w:rsidR="00806081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с лекарственно</w:t>
      </w:r>
      <w:r w:rsidR="00124D2A" w:rsidRPr="007F3BB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06081" w:rsidRPr="007F3BBC">
        <w:rPr>
          <w:rFonts w:ascii="Times New Roman" w:hAnsi="Times New Roman" w:cs="Times New Roman"/>
          <w:sz w:val="24"/>
          <w:szCs w:val="24"/>
          <w:lang w:val="ru-RU"/>
        </w:rPr>
        <w:t>чувствительными и устойчивыми МБТ</w:t>
      </w:r>
      <w:r w:rsidR="00627580" w:rsidRPr="007F3BBC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806081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1BE161" w14:textId="77777777" w:rsidR="00D55E20" w:rsidRPr="007F3BBC" w:rsidRDefault="00D55E20" w:rsidP="007F3BB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BBC">
        <w:rPr>
          <w:rFonts w:ascii="Times New Roman" w:hAnsi="Times New Roman" w:cs="Times New Roman"/>
          <w:sz w:val="24"/>
          <w:szCs w:val="24"/>
          <w:lang w:val="ru-RU"/>
        </w:rPr>
        <w:t>генераци</w:t>
      </w:r>
      <w:r w:rsidR="004E0968" w:rsidRPr="007F3BB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стандартных статистических отчетов и обеспечение своевременного обмена данными по </w:t>
      </w:r>
      <w:r w:rsidR="006C5C2A" w:rsidRPr="007F3BBC">
        <w:rPr>
          <w:rFonts w:ascii="Times New Roman" w:hAnsi="Times New Roman" w:cs="Times New Roman"/>
          <w:sz w:val="24"/>
          <w:szCs w:val="24"/>
          <w:lang w:val="ru-RU"/>
        </w:rPr>
        <w:t>больным туберкулезом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между </w:t>
      </w:r>
      <w:r w:rsidR="004E0968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противотуберкулезными 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>учреждениями различных уровней</w:t>
      </w:r>
      <w:r w:rsidR="00264D6F" w:rsidRPr="007F3B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A215D0" w14:textId="77777777" w:rsidR="00264D6F" w:rsidRPr="007F3BBC" w:rsidRDefault="00264D6F" w:rsidP="007F3BB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BB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55E20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онтроль 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достоверности </w:t>
      </w:r>
      <w:r w:rsidR="00806081" w:rsidRPr="007F3BBC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2BA2A8" w14:textId="77777777" w:rsidR="004E0968" w:rsidRPr="007F3BBC" w:rsidRDefault="004E0968" w:rsidP="007F3BB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устойчивого механизма обмена информацией между лабораториями и клинической службой;</w:t>
      </w:r>
    </w:p>
    <w:p w14:paraId="3A0BD58F" w14:textId="77777777" w:rsidR="00D55E20" w:rsidRPr="007F3BBC" w:rsidRDefault="004E0968" w:rsidP="007F3BBC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BBC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анализ</w:t>
      </w:r>
      <w:r w:rsidR="00264D6F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</w:t>
      </w:r>
      <w:r w:rsidR="00D55E20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для управляющих решений и при проведении </w:t>
      </w:r>
      <w:r w:rsidR="00D55E20" w:rsidRPr="007F3BBC">
        <w:rPr>
          <w:rFonts w:ascii="Times New Roman" w:hAnsi="Times New Roman" w:cs="Times New Roman"/>
          <w:sz w:val="24"/>
          <w:szCs w:val="24"/>
          <w:lang w:val="ru-RU"/>
        </w:rPr>
        <w:t>научных исследовани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55E20" w:rsidRPr="007F3B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0C9035" w14:textId="77777777" w:rsidR="004E0968" w:rsidRPr="007F3BBC" w:rsidRDefault="00806081" w:rsidP="007F3B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Система включает </w:t>
      </w:r>
      <w:r w:rsidR="00264D6F" w:rsidRPr="007F3BB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7F3BBC">
        <w:rPr>
          <w:rFonts w:ascii="Times New Roman" w:hAnsi="Times New Roman" w:cs="Times New Roman"/>
          <w:b/>
          <w:sz w:val="24"/>
          <w:szCs w:val="24"/>
          <w:lang w:val="ru-RU"/>
        </w:rPr>
        <w:t>ДОТС/ДОТС+</w:t>
      </w:r>
      <w:r w:rsidR="00264D6F" w:rsidRPr="007F3BB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E82A58" w:rsidRPr="007F3B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E0968" w:rsidRPr="007F3BBC">
        <w:rPr>
          <w:rFonts w:ascii="Times New Roman" w:hAnsi="Times New Roman" w:cs="Times New Roman"/>
          <w:b/>
          <w:sz w:val="24"/>
          <w:szCs w:val="24"/>
          <w:lang w:val="ru-RU"/>
        </w:rPr>
        <w:t>модуль</w:t>
      </w:r>
      <w:r w:rsidR="004E0968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обеспечивающий работу с информацией о случаях заболевания ТБ и ТБ с МЛУ МБТ, и </w:t>
      </w:r>
      <w:r w:rsidR="004E0968" w:rsidRPr="007F3BBC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Лабораторный модуль</w:t>
      </w:r>
      <w:r w:rsidR="004E0968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, предназначенный для работы с данными </w:t>
      </w:r>
      <w:r w:rsidR="00264D6F" w:rsidRPr="007F3BBC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лабораторных исследова</w:t>
      </w:r>
      <w:r w:rsidR="00264D6F" w:rsidRPr="007F3BBC">
        <w:rPr>
          <w:rFonts w:ascii="Times New Roman" w:hAnsi="Times New Roman" w:cs="Times New Roman"/>
          <w:sz w:val="24"/>
          <w:szCs w:val="24"/>
          <w:lang w:val="ru-RU"/>
        </w:rPr>
        <w:t>ний</w:t>
      </w:r>
      <w:r w:rsidR="004E0968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4054979" w14:textId="77777777" w:rsidR="00D83E29" w:rsidRPr="007F3BBC" w:rsidRDefault="004E0968" w:rsidP="007F3B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BBC">
        <w:rPr>
          <w:rFonts w:ascii="Times New Roman" w:hAnsi="Times New Roman" w:cs="Times New Roman"/>
          <w:sz w:val="24"/>
          <w:szCs w:val="24"/>
          <w:lang w:val="ru-RU"/>
        </w:rPr>
        <w:t>В регистре лабораторного модуля собирается и обрабатывается информация о результатах</w:t>
      </w:r>
      <w:r w:rsidR="00264D6F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микроскопии мокроты и </w:t>
      </w:r>
      <w:r w:rsidR="00806081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другого патологического материала, </w:t>
      </w:r>
      <w:r w:rsidR="00154FDF" w:rsidRPr="007F3BBC">
        <w:rPr>
          <w:rFonts w:ascii="Times New Roman" w:hAnsi="Times New Roman" w:cs="Times New Roman"/>
          <w:sz w:val="24"/>
          <w:szCs w:val="24"/>
          <w:lang w:val="ru-RU"/>
        </w:rPr>
        <w:t>молекулярно-генетических методов (</w:t>
      </w:r>
      <w:r w:rsidR="00806081" w:rsidRPr="007F3BBC">
        <w:rPr>
          <w:rFonts w:ascii="Times New Roman" w:hAnsi="Times New Roman" w:cs="Times New Roman"/>
          <w:sz w:val="24"/>
          <w:szCs w:val="24"/>
          <w:lang w:val="ru-RU"/>
        </w:rPr>
        <w:t>MTB/</w:t>
      </w:r>
      <w:r w:rsidR="0028228F" w:rsidRPr="007F3BBC">
        <w:rPr>
          <w:rFonts w:ascii="Times New Roman" w:hAnsi="Times New Roman" w:cs="Times New Roman"/>
          <w:sz w:val="24"/>
          <w:szCs w:val="24"/>
        </w:rPr>
        <w:t>R</w:t>
      </w:r>
      <w:r w:rsidR="002B7B9F" w:rsidRPr="007F3BBC">
        <w:rPr>
          <w:rFonts w:ascii="Times New Roman" w:hAnsi="Times New Roman" w:cs="Times New Roman"/>
          <w:sz w:val="24"/>
          <w:szCs w:val="24"/>
        </w:rPr>
        <w:t>if</w:t>
      </w:r>
      <w:r w:rsidR="00264D6F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06081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228F" w:rsidRPr="007F3BBC">
        <w:rPr>
          <w:rFonts w:ascii="Times New Roman" w:hAnsi="Times New Roman" w:cs="Times New Roman"/>
          <w:sz w:val="24"/>
          <w:szCs w:val="24"/>
        </w:rPr>
        <w:t>LPA</w:t>
      </w:r>
      <w:r w:rsidR="00154FDF" w:rsidRPr="007F3BB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64D6F" w:rsidRPr="007F3B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6081" w:rsidRPr="007F3BBC">
        <w:rPr>
          <w:rFonts w:ascii="Times New Roman" w:hAnsi="Times New Roman" w:cs="Times New Roman"/>
          <w:sz w:val="24"/>
          <w:szCs w:val="24"/>
          <w:lang w:val="ru-RU"/>
        </w:rPr>
        <w:t xml:space="preserve"> данных посевов мокроты и </w:t>
      </w:r>
      <w:r w:rsidR="00264D6F" w:rsidRPr="007F3BBC">
        <w:rPr>
          <w:rFonts w:ascii="Times New Roman" w:hAnsi="Times New Roman" w:cs="Times New Roman"/>
          <w:sz w:val="24"/>
          <w:szCs w:val="24"/>
          <w:lang w:val="ru-RU"/>
        </w:rPr>
        <w:t>исследований на лекарственную чувствительность (ИЛЧ)</w:t>
      </w:r>
      <w:r w:rsidRPr="007F3B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E0897E" w14:textId="77777777" w:rsidR="004B7584" w:rsidRPr="007F3BBC" w:rsidRDefault="00E82A58" w:rsidP="007F3B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C87">
        <w:rPr>
          <w:rFonts w:ascii="Times New Roman" w:hAnsi="Times New Roman" w:cs="Times New Roman"/>
          <w:sz w:val="24"/>
          <w:szCs w:val="24"/>
          <w:lang w:val="ru-RU"/>
        </w:rPr>
        <w:t>На данном этапе</w:t>
      </w:r>
      <w:r w:rsidR="004B7584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C87" w:rsidRPr="003B6C8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64D6F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ользователи модуля «ДОТС/ДОТС+» </w:t>
      </w:r>
      <w:r w:rsidR="007F3BBC" w:rsidRPr="005F4346">
        <w:rPr>
          <w:rFonts w:ascii="Times New Roman" w:hAnsi="Times New Roman" w:cs="Times New Roman"/>
          <w:sz w:val="24"/>
          <w:szCs w:val="24"/>
          <w:lang w:val="ru-RU"/>
        </w:rPr>
        <w:t xml:space="preserve">имеют доступ к данным из </w:t>
      </w:r>
      <w:r w:rsidR="00264D6F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Лабораторного модуля </w:t>
      </w:r>
      <w:r w:rsidR="007F3BBC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как к </w:t>
      </w:r>
      <w:r w:rsidR="00264D6F" w:rsidRPr="003B6C87">
        <w:rPr>
          <w:rFonts w:ascii="Times New Roman" w:hAnsi="Times New Roman" w:cs="Times New Roman"/>
          <w:sz w:val="24"/>
          <w:szCs w:val="24"/>
          <w:lang w:val="ru-RU"/>
        </w:rPr>
        <w:t>справочной информации</w:t>
      </w:r>
      <w:r w:rsidR="007F3BBC" w:rsidRPr="003B6C87">
        <w:rPr>
          <w:rFonts w:ascii="Times New Roman" w:hAnsi="Times New Roman" w:cs="Times New Roman"/>
          <w:sz w:val="24"/>
          <w:szCs w:val="24"/>
          <w:lang w:val="ru-RU"/>
        </w:rPr>
        <w:t>, необходимой при заполнении</w:t>
      </w:r>
      <w:r w:rsidR="00264D6F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 форм </w:t>
      </w:r>
      <w:r w:rsidR="007F3BBC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264D6F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регистрации </w:t>
      </w:r>
      <w:r w:rsidR="007F3BBC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новых случаев заболевания </w:t>
      </w:r>
      <w:r w:rsidR="00264D6F" w:rsidRPr="003B6C8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F3BBC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  контролю</w:t>
      </w:r>
      <w:r w:rsidR="00264D6F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 лечения</w:t>
      </w:r>
      <w:r w:rsidR="00785A14" w:rsidRPr="003B6C87">
        <w:rPr>
          <w:rFonts w:ascii="Times New Roman" w:hAnsi="Times New Roman" w:cs="Times New Roman"/>
          <w:sz w:val="24"/>
          <w:szCs w:val="24"/>
          <w:lang w:val="ru-RU"/>
        </w:rPr>
        <w:t>, а также для принятия соответствующих решений при назначении режима лечения или корректировке режима, или схемы лечения</w:t>
      </w:r>
      <w:r w:rsidR="00264D6F" w:rsidRPr="003B6C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B7584" w:rsidRPr="003B6C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0754C7" w14:textId="77777777" w:rsidR="00D55E20" w:rsidRPr="001C21A4" w:rsidRDefault="007F3BBC" w:rsidP="001C21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1A4">
        <w:rPr>
          <w:rFonts w:ascii="Times New Roman" w:hAnsi="Times New Roman" w:cs="Times New Roman"/>
          <w:sz w:val="24"/>
          <w:szCs w:val="24"/>
          <w:lang w:val="ru-RU"/>
        </w:rPr>
        <w:t>E-TB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 интерфейс для ввода данных из основных 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>утвержденных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в Республике 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учетных 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форм, используемых в 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>противотуберкулезных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учреждениях: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>извещени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о новом случае </w:t>
      </w:r>
      <w:r w:rsidR="00154FDF" w:rsidRPr="001C21A4">
        <w:rPr>
          <w:rFonts w:ascii="Times New Roman" w:hAnsi="Times New Roman" w:cs="Times New Roman"/>
          <w:sz w:val="24"/>
          <w:szCs w:val="24"/>
          <w:lang w:val="ru-RU"/>
        </w:rPr>
        <w:t>туберкулеза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(формы № 089),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регистрации случаев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FDF" w:rsidRPr="001C21A4">
        <w:rPr>
          <w:rFonts w:ascii="Times New Roman" w:hAnsi="Times New Roman" w:cs="Times New Roman"/>
          <w:sz w:val="24"/>
          <w:szCs w:val="24"/>
          <w:lang w:val="ru-RU"/>
        </w:rPr>
        <w:t>туберкулеза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как без, так и с МЛУ МБТ (ТБ-03, 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>ТБ</w:t>
      </w:r>
      <w:r w:rsidR="00154FDF" w:rsidRPr="001C21A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>), направления на лабораторный анализ (</w:t>
      </w:r>
      <w:r w:rsidR="00806081" w:rsidRPr="001C21A4">
        <w:rPr>
          <w:rFonts w:ascii="Times New Roman" w:hAnsi="Times New Roman" w:cs="Times New Roman"/>
          <w:sz w:val="24"/>
          <w:szCs w:val="24"/>
          <w:lang w:val="ru-RU"/>
        </w:rPr>
        <w:t>ТБ-05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>) и журнала регистрации лабораторных исследований (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>ТБ</w:t>
      </w:r>
      <w:r w:rsidR="00154FDF" w:rsidRPr="001C21A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и др.).</w:t>
      </w:r>
    </w:p>
    <w:p w14:paraId="724C445C" w14:textId="77777777" w:rsidR="006C565E" w:rsidRPr="00785A14" w:rsidRDefault="004B7584" w:rsidP="009510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1A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каждо</w:t>
      </w:r>
      <w:r w:rsidRPr="001C21A4">
        <w:rPr>
          <w:rFonts w:ascii="Times New Roman" w:hAnsi="Times New Roman" w:cs="Times New Roman"/>
          <w:sz w:val="24"/>
          <w:szCs w:val="24"/>
          <w:lang w:val="ru-RU"/>
        </w:rPr>
        <w:t>м районном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Центр</w:t>
      </w:r>
      <w:r w:rsidRPr="001C21A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017F1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по защите населения от туберкулеза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, из числа 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>его сотрудников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назначены 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>человека, включая одного лабораторного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>оторые</w:t>
      </w:r>
      <w:r w:rsidR="00AA3521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были </w:t>
      </w:r>
      <w:r w:rsidR="00D55E20" w:rsidRPr="001C21A4">
        <w:rPr>
          <w:rFonts w:ascii="Times New Roman" w:hAnsi="Times New Roman" w:cs="Times New Roman"/>
          <w:sz w:val="24"/>
          <w:szCs w:val="24"/>
          <w:lang w:val="ru-RU"/>
        </w:rPr>
        <w:t>обучены правилам пользования системой</w:t>
      </w:r>
      <w:r w:rsidR="00AA3521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5104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51041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 дополнение к своим прямым обязанностям </w:t>
      </w:r>
      <w:r w:rsidR="0095104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 w:rsidR="00951041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на регулярной основе </w:t>
      </w:r>
      <w:r w:rsidR="001C21A4" w:rsidRPr="001C21A4">
        <w:rPr>
          <w:rFonts w:ascii="Times New Roman" w:hAnsi="Times New Roman" w:cs="Times New Roman"/>
          <w:sz w:val="24"/>
          <w:szCs w:val="24"/>
          <w:lang w:val="ru-RU"/>
        </w:rPr>
        <w:t xml:space="preserve">производят ввод данных </w:t>
      </w:r>
      <w:r w:rsidR="00951041">
        <w:rPr>
          <w:rFonts w:ascii="Times New Roman" w:hAnsi="Times New Roman" w:cs="Times New Roman"/>
          <w:sz w:val="24"/>
          <w:szCs w:val="24"/>
          <w:lang w:val="ru-RU"/>
        </w:rPr>
        <w:t>в регистр, используя сведения из указанных учетных форм, предварительно осуществляя контроль</w:t>
      </w:r>
      <w:r w:rsidR="00D55E20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1041" w:rsidRPr="00785A14">
        <w:rPr>
          <w:rFonts w:ascii="Times New Roman" w:hAnsi="Times New Roman" w:cs="Times New Roman"/>
          <w:sz w:val="24"/>
          <w:szCs w:val="24"/>
          <w:lang w:val="ru-RU"/>
        </w:rPr>
        <w:t>возможного наличия</w:t>
      </w:r>
      <w:r w:rsidR="00D55E20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565E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пациента в </w:t>
      </w:r>
      <w:r w:rsidR="00785A14">
        <w:rPr>
          <w:rFonts w:ascii="Times New Roman" w:hAnsi="Times New Roman" w:cs="Times New Roman"/>
          <w:sz w:val="24"/>
          <w:szCs w:val="24"/>
          <w:lang w:val="ru-RU"/>
        </w:rPr>
        <w:t>базе данных</w:t>
      </w:r>
      <w:r w:rsidR="006C565E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3521" w:rsidRPr="00785A14">
        <w:rPr>
          <w:rFonts w:ascii="Times New Roman" w:hAnsi="Times New Roman" w:cs="Times New Roman"/>
          <w:sz w:val="24"/>
          <w:szCs w:val="24"/>
          <w:lang w:val="ru-RU"/>
        </w:rPr>
        <w:t>с использованием</w:t>
      </w:r>
      <w:r w:rsidR="00D55E20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 ФИ</w:t>
      </w:r>
      <w:r w:rsidR="00AA3521" w:rsidRPr="00785A14">
        <w:rPr>
          <w:rFonts w:ascii="Times New Roman" w:hAnsi="Times New Roman" w:cs="Times New Roman"/>
          <w:sz w:val="24"/>
          <w:szCs w:val="24"/>
          <w:lang w:val="ru-RU"/>
        </w:rPr>
        <w:t>О больного,</w:t>
      </w:r>
      <w:r w:rsidR="00D55E20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 его регистрационно</w:t>
      </w:r>
      <w:r w:rsidR="00AA3521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го номера в </w:t>
      </w:r>
      <w:r w:rsidR="00785A14">
        <w:rPr>
          <w:rFonts w:ascii="Times New Roman" w:hAnsi="Times New Roman" w:cs="Times New Roman"/>
          <w:sz w:val="24"/>
          <w:szCs w:val="24"/>
          <w:lang w:val="ru-RU"/>
        </w:rPr>
        <w:t>регистре</w:t>
      </w:r>
      <w:r w:rsidR="00AA3521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55E20" w:rsidRPr="00785A14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AA3521" w:rsidRPr="00785A14">
        <w:rPr>
          <w:rFonts w:ascii="Times New Roman" w:hAnsi="Times New Roman" w:cs="Times New Roman"/>
          <w:sz w:val="24"/>
          <w:szCs w:val="24"/>
          <w:lang w:val="ru-RU"/>
        </w:rPr>
        <w:t>а регистраци</w:t>
      </w:r>
      <w:r w:rsidR="006C565E" w:rsidRPr="00785A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A3521" w:rsidRPr="00785A14">
        <w:rPr>
          <w:rFonts w:ascii="Times New Roman" w:hAnsi="Times New Roman" w:cs="Times New Roman"/>
          <w:sz w:val="24"/>
          <w:szCs w:val="24"/>
          <w:lang w:val="ru-RU"/>
        </w:rPr>
        <w:t xml:space="preserve"> в когорте</w:t>
      </w:r>
      <w:r w:rsidR="00D55E20" w:rsidRPr="00785A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E7771A" w14:textId="77777777" w:rsidR="004B7584" w:rsidRPr="00003C12" w:rsidRDefault="006C565E" w:rsidP="00003C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3C12">
        <w:rPr>
          <w:rFonts w:ascii="Times New Roman" w:hAnsi="Times New Roman" w:cs="Times New Roman"/>
          <w:sz w:val="24"/>
          <w:szCs w:val="24"/>
          <w:lang w:val="ru-RU"/>
        </w:rPr>
        <w:t>В лабораторный модуль E-TB регистра</w:t>
      </w:r>
      <w:r w:rsidR="005733EF" w:rsidRPr="00003C1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микроскопии и/или GeneXpert® MTB/Rif вводят лабораторные специалисты на уровне района, в то время, как результаты посевов мокроты и ИЛЧ, а также исследований, проводимых на тест-системе LPA, вводят </w:t>
      </w:r>
      <w:r w:rsidR="005733EF" w:rsidRPr="00003C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сотрудники </w:t>
      </w:r>
      <w:r w:rsidR="004B7584" w:rsidRPr="00003C1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65A3D" w:rsidRPr="00003C12">
        <w:rPr>
          <w:rFonts w:ascii="Times New Roman" w:hAnsi="Times New Roman" w:cs="Times New Roman"/>
          <w:sz w:val="24"/>
          <w:szCs w:val="24"/>
          <w:lang w:val="ru-RU"/>
        </w:rPr>
        <w:t>ациональной референс-лаборатории (Н</w:t>
      </w:r>
      <w:r w:rsidR="004B7584" w:rsidRPr="00003C12">
        <w:rPr>
          <w:rFonts w:ascii="Times New Roman" w:hAnsi="Times New Roman" w:cs="Times New Roman"/>
          <w:sz w:val="24"/>
          <w:szCs w:val="24"/>
          <w:lang w:val="ru-RU"/>
        </w:rPr>
        <w:t>РЛ</w:t>
      </w:r>
      <w:r w:rsidR="00F65A3D" w:rsidRPr="00003C1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B7584" w:rsidRPr="00003C1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65A3D" w:rsidRPr="00003C12">
        <w:rPr>
          <w:rFonts w:ascii="Times New Roman" w:hAnsi="Times New Roman" w:cs="Times New Roman"/>
          <w:sz w:val="24"/>
          <w:szCs w:val="24"/>
          <w:lang w:val="ru-RU"/>
        </w:rPr>
        <w:t>Национальной лаборатории общественного здоровья (</w:t>
      </w:r>
      <w:r w:rsidR="004B7584" w:rsidRPr="00003C12">
        <w:rPr>
          <w:rFonts w:ascii="Times New Roman" w:hAnsi="Times New Roman" w:cs="Times New Roman"/>
          <w:sz w:val="24"/>
          <w:szCs w:val="24"/>
          <w:lang w:val="ru-RU"/>
        </w:rPr>
        <w:t>НЛОЗ)</w:t>
      </w:r>
      <w:r w:rsidR="00F65A3D" w:rsidRPr="005F411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732A18" w:rsidRPr="005F411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.</w:t>
      </w:r>
    </w:p>
    <w:p w14:paraId="34D1200D" w14:textId="77777777" w:rsidR="00003C12" w:rsidRPr="0082458C" w:rsidRDefault="00003C12" w:rsidP="008245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E-TB регистр формирует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большинство учетных и отчетных форм, которые исп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ользуют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в РТ</w:t>
      </w:r>
      <w:r w:rsidR="00D601CD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. Программа выводит формы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на экран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, так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и в MS Excel</w:t>
      </w:r>
      <w:r w:rsidR="00D601CD" w:rsidRPr="008245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что позволяет прово</w:t>
      </w:r>
      <w:r w:rsidR="00D601CD" w:rsidRPr="0082458C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D601CD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дополнительн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ый расширенный анализ</w:t>
      </w:r>
      <w:r w:rsidR="00D601CD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5C75316" w14:textId="1007BAB3" w:rsidR="00B6433F" w:rsidRPr="0082458C" w:rsidRDefault="00003C12" w:rsidP="008245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58C">
        <w:rPr>
          <w:rFonts w:ascii="Times New Roman" w:hAnsi="Times New Roman" w:cs="Times New Roman"/>
          <w:sz w:val="24"/>
          <w:szCs w:val="24"/>
          <w:lang w:val="ru-RU"/>
        </w:rPr>
        <w:t>Выводимы</w:t>
      </w:r>
      <w:r w:rsidR="00FB0DCA" w:rsidRPr="0082458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формы </w:t>
      </w:r>
      <w:r w:rsidR="00615CF9">
        <w:rPr>
          <w:rFonts w:ascii="Times New Roman" w:hAnsi="Times New Roman" w:cs="Times New Roman"/>
          <w:sz w:val="24"/>
          <w:szCs w:val="24"/>
          <w:lang w:val="ru-RU"/>
        </w:rPr>
        <w:t>«ДОТС/ДОТС+» модуля</w:t>
      </w:r>
      <w:r w:rsidR="00615CF9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включают </w:t>
      </w:r>
      <w:r w:rsidR="00FB0DCA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журналы регистрации и ведения когорт, стандартные отчетные формы когортного анализа,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20 целевых списков, отвечающих наиболее часто запрашиваемой информации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DCA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(например, списки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по годам, различным по возрасту и полу группам пациентов, регистрационным группам, результатам лечения, диагнозам и т.д.)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FDF" w:rsidRPr="0082458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тчет по </w:t>
      </w:r>
      <w:r w:rsidR="00D601CD" w:rsidRPr="008245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ЛЧ,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таблицы по выявлению основной отчетной формы по туберкулезу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МЗиСЗН РТ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. Кроме того, разработаны </w:t>
      </w:r>
      <w:r w:rsidR="00154FDF" w:rsidRPr="0082458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тчеты по использованию </w:t>
      </w:r>
      <w:r w:rsidR="002B7B9F" w:rsidRPr="0082458C">
        <w:rPr>
          <w:rFonts w:ascii="Times New Roman" w:hAnsi="Times New Roman" w:cs="Times New Roman"/>
          <w:sz w:val="24"/>
          <w:szCs w:val="24"/>
          <w:lang w:val="ru-RU"/>
        </w:rPr>
        <w:t>противотуберкулезных препаратов второго ряда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и по </w:t>
      </w:r>
      <w:r w:rsidR="00D601CD" w:rsidRPr="0082458C">
        <w:rPr>
          <w:rFonts w:ascii="Times New Roman" w:hAnsi="Times New Roman" w:cs="Times New Roman"/>
          <w:sz w:val="24"/>
          <w:szCs w:val="24"/>
          <w:lang w:val="ru-RU"/>
        </w:rPr>
        <w:t>нежелательным явлениям, возникающим при применении ПВР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>, которые находятся в стадии тестирования</w:t>
      </w:r>
      <w:r w:rsidR="00D601CD" w:rsidRPr="008245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2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C66">
        <w:rPr>
          <w:rFonts w:ascii="Times New Roman" w:hAnsi="Times New Roman" w:cs="Times New Roman"/>
          <w:sz w:val="24"/>
          <w:szCs w:val="24"/>
          <w:lang w:val="ru-RU"/>
        </w:rPr>
        <w:t>При реализации данной функции система мо</w:t>
      </w:r>
      <w:r w:rsidR="0030542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917C66">
        <w:rPr>
          <w:rFonts w:ascii="Times New Roman" w:hAnsi="Times New Roman" w:cs="Times New Roman"/>
          <w:sz w:val="24"/>
          <w:szCs w:val="24"/>
          <w:lang w:val="ru-RU"/>
        </w:rPr>
        <w:t>ет быть использована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для работы с инструментами планирования поставок, раннего оповещения и расчёта потребности в противотуберкулёзных препаратах, например, </w:t>
      </w:r>
      <w:r w:rsidR="00D6660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>программой QuanTB.</w:t>
      </w:r>
    </w:p>
    <w:p w14:paraId="5ACB4DF4" w14:textId="77777777" w:rsidR="00B6433F" w:rsidRPr="0082458C" w:rsidRDefault="0082458C" w:rsidP="008245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58C">
        <w:rPr>
          <w:rFonts w:ascii="Times New Roman" w:hAnsi="Times New Roman" w:cs="Times New Roman"/>
          <w:sz w:val="24"/>
          <w:szCs w:val="24"/>
          <w:lang w:val="ru-RU"/>
        </w:rPr>
        <w:t>В E-TB регистре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реализован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при вводе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и выводе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данных иерархический трехуровневый справочник область/район/учреждение, который позволяет формировать отчетность для четырех уровней – учреждение, район, область/город республиканского подчинения, республика</w:t>
      </w:r>
      <w:r w:rsidR="003B6C87">
        <w:rPr>
          <w:rFonts w:ascii="Times New Roman" w:hAnsi="Times New Roman" w:cs="Times New Roman"/>
          <w:sz w:val="24"/>
          <w:szCs w:val="24"/>
          <w:lang w:val="ru-RU"/>
        </w:rPr>
        <w:t>, при том, что в</w:t>
      </w:r>
      <w:r w:rsidR="0030542B">
        <w:rPr>
          <w:rFonts w:ascii="Times New Roman" w:hAnsi="Times New Roman" w:cs="Times New Roman"/>
          <w:sz w:val="24"/>
          <w:szCs w:val="24"/>
          <w:lang w:val="ru-RU"/>
        </w:rPr>
        <w:t>вод данных о пациентах осуществляется на районном уровне.</w:t>
      </w:r>
    </w:p>
    <w:p w14:paraId="447A771C" w14:textId="77777777" w:rsidR="00B6433F" w:rsidRPr="0082458C" w:rsidRDefault="009764A9" w:rsidP="008245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58C">
        <w:rPr>
          <w:rFonts w:ascii="Times New Roman" w:hAnsi="Times New Roman" w:cs="Times New Roman"/>
          <w:sz w:val="24"/>
          <w:szCs w:val="24"/>
          <w:lang w:val="ru-RU"/>
        </w:rPr>
        <w:t>Программа формирует о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тчет по качеству данных. Эта функция, позволяет проводить эффективный мониторинг работы системы</w:t>
      </w:r>
      <w:r w:rsidR="00C85BD6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на всех уровнях, но, прежде всего, на уровне района или учреждения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Данный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отчет включает контрольные списки пациентов,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при вводе которых были сделаны логические ошибки или не полностью была введена информация, имеющая значение для оценки ситуации или проведения соответствующего анализа. Так, например, выводится список пациентов, у которых отсутствуют данные 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>результатов контрольных исследований на установленном месяце проведения химиотерапии</w:t>
      </w:r>
      <w:r w:rsidR="00C85BD6" w:rsidRPr="0082458C">
        <w:rPr>
          <w:rFonts w:ascii="Times New Roman" w:hAnsi="Times New Roman" w:cs="Times New Roman"/>
          <w:sz w:val="24"/>
          <w:szCs w:val="24"/>
          <w:lang w:val="ru-RU"/>
        </w:rPr>
        <w:t>, нет регистрационной группы по истории леч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="00C85BD6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, имеется регистрация, но нет даты начала лечения, отсутствует результат лечения после 8 месяцев лечения и т.п. При этом, 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в виде </w:t>
      </w:r>
      <w:r w:rsidR="00C85BD6" w:rsidRPr="0082458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формального 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индикатора </w:t>
      </w:r>
      <w:r w:rsidR="00C85BD6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качества вводимой информации программа подсчитывает относительную долю пациентов </w:t>
      </w:r>
      <w:r w:rsidR="0082458C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с рассматриваемыми дефектами ввода </w:t>
      </w:r>
      <w:r w:rsidR="00C85BD6" w:rsidRPr="0082458C">
        <w:rPr>
          <w:rFonts w:ascii="Times New Roman" w:hAnsi="Times New Roman" w:cs="Times New Roman"/>
          <w:sz w:val="24"/>
          <w:szCs w:val="24"/>
          <w:lang w:val="ru-RU"/>
        </w:rPr>
        <w:t>среди всех зарегистрированных пациентов в данной территории или данном учреждении.</w:t>
      </w:r>
    </w:p>
    <w:p w14:paraId="29385579" w14:textId="77777777" w:rsidR="00B6433F" w:rsidRPr="0082458C" w:rsidRDefault="00C85BD6" w:rsidP="008245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458C">
        <w:rPr>
          <w:rFonts w:ascii="Times New Roman" w:hAnsi="Times New Roman" w:cs="Times New Roman"/>
          <w:sz w:val="24"/>
          <w:szCs w:val="24"/>
          <w:lang w:val="ru-RU"/>
        </w:rPr>
        <w:t>В программе предусмотрена функция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закрытия когорты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» или отчета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, что осуществляется на уровне области или РЦЗНТ после завершения формирования годового или квартального отчета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для когорты областного или районного уровня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. После закрытия отчета любые изменения в регистре на уровне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>района или учреждения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 не изменяют </w:t>
      </w:r>
      <w:r w:rsidRPr="0082458C">
        <w:rPr>
          <w:rFonts w:ascii="Times New Roman" w:hAnsi="Times New Roman" w:cs="Times New Roman"/>
          <w:sz w:val="24"/>
          <w:szCs w:val="24"/>
          <w:lang w:val="ru-RU"/>
        </w:rPr>
        <w:t xml:space="preserve">областной или, соответственно, районный </w:t>
      </w:r>
      <w:r w:rsidR="00B6433F" w:rsidRPr="0082458C">
        <w:rPr>
          <w:rFonts w:ascii="Times New Roman" w:hAnsi="Times New Roman" w:cs="Times New Roman"/>
          <w:sz w:val="24"/>
          <w:szCs w:val="24"/>
          <w:lang w:val="ru-RU"/>
        </w:rPr>
        <w:t>отчет. Коррекция отчета и его перерасчет может быть произведен только после его открытия на время коррекции вышестоящей организацией (областью или РЦЗНТ).</w:t>
      </w:r>
    </w:p>
    <w:p w14:paraId="7133D6CD" w14:textId="77777777" w:rsidR="00615CF9" w:rsidRPr="005160A9" w:rsidRDefault="002729C7" w:rsidP="005160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0A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B6433F" w:rsidRPr="005160A9">
        <w:rPr>
          <w:rFonts w:ascii="Times New Roman" w:hAnsi="Times New Roman" w:cs="Times New Roman"/>
          <w:sz w:val="24"/>
          <w:szCs w:val="24"/>
          <w:lang w:val="ru-RU"/>
        </w:rPr>
        <w:t>аборато</w:t>
      </w:r>
      <w:r w:rsidR="0085028A" w:rsidRPr="005160A9">
        <w:rPr>
          <w:rFonts w:ascii="Times New Roman" w:hAnsi="Times New Roman" w:cs="Times New Roman"/>
          <w:sz w:val="24"/>
          <w:szCs w:val="24"/>
          <w:lang w:val="ru-RU"/>
        </w:rPr>
        <w:t>рный</w:t>
      </w:r>
      <w:r w:rsidR="00B6433F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 модуль формирует </w:t>
      </w:r>
      <w:r w:rsidR="00615CF9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такие </w:t>
      </w:r>
      <w:r w:rsidR="0085028A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учетные и </w:t>
      </w:r>
      <w:r w:rsidR="00B6433F" w:rsidRPr="005160A9">
        <w:rPr>
          <w:rFonts w:ascii="Times New Roman" w:hAnsi="Times New Roman" w:cs="Times New Roman"/>
          <w:sz w:val="24"/>
          <w:szCs w:val="24"/>
          <w:lang w:val="ru-RU"/>
        </w:rPr>
        <w:t>отчетные формы</w:t>
      </w:r>
      <w:r w:rsidR="00615CF9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, как </w:t>
      </w:r>
      <w:r w:rsidR="00E82A58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7C58" w:rsidRPr="005160A9">
        <w:rPr>
          <w:rFonts w:ascii="Times New Roman" w:hAnsi="Times New Roman" w:cs="Times New Roman"/>
          <w:sz w:val="24"/>
          <w:szCs w:val="24"/>
          <w:lang w:val="ru-RU"/>
        </w:rPr>
        <w:t>направление на исследование, журнал</w:t>
      </w:r>
      <w:r w:rsidR="00E82A58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микроскопии, отчеты по микроскопии, ИЛЧ и культуре и бакте</w:t>
      </w:r>
      <w:r w:rsidR="00615CF9" w:rsidRPr="005160A9">
        <w:rPr>
          <w:rFonts w:ascii="Times New Roman" w:hAnsi="Times New Roman" w:cs="Times New Roman"/>
          <w:sz w:val="24"/>
          <w:szCs w:val="24"/>
          <w:lang w:val="ru-RU"/>
        </w:rPr>
        <w:t>риограмму пациента. Последняя форма включает результаты всех бактериологических анализов, сделанных когда-либо для данного пациента, что является</w:t>
      </w:r>
      <w:r w:rsidR="005160A9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необходимой информацией</w:t>
      </w:r>
      <w:r w:rsidR="00615CF9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 для врача, который осуществляет диагностику заболевания и лечение больного. </w:t>
      </w:r>
      <w:r w:rsidR="005160A9" w:rsidRPr="005160A9">
        <w:rPr>
          <w:rFonts w:ascii="Times New Roman" w:hAnsi="Times New Roman" w:cs="Times New Roman"/>
          <w:sz w:val="24"/>
          <w:szCs w:val="24"/>
          <w:lang w:val="ru-RU"/>
        </w:rPr>
        <w:t>Отчетные ф</w:t>
      </w:r>
      <w:r w:rsidR="00615CF9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ормы были разработаны и утверждены </w:t>
      </w:r>
      <w:r w:rsidR="00B6433F" w:rsidRPr="005160A9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ТРГ</w:t>
      </w:r>
      <w:r w:rsidR="00615CF9" w:rsidRPr="005160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009B2F" w14:textId="77777777" w:rsidR="00AD4060" w:rsidRDefault="007B3032" w:rsidP="00E071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лектронный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егистр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туберкулезу 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позволяет генерировать отчеты по запросу в короткие сроки, что </w:t>
      </w:r>
      <w:r w:rsidR="00430782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>для своевременного принятия решений</w:t>
      </w:r>
      <w:r w:rsidR="005F411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D4060">
        <w:rPr>
          <w:rFonts w:ascii="Times New Roman" w:hAnsi="Times New Roman" w:cs="Times New Roman"/>
          <w:sz w:val="24"/>
          <w:szCs w:val="24"/>
          <w:lang w:val="ru-RU"/>
        </w:rPr>
        <w:t xml:space="preserve"> улучшени</w:t>
      </w:r>
      <w:r w:rsidR="005F411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D4060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качества оказываемых медицинских услуг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30782">
        <w:rPr>
          <w:rFonts w:ascii="Times New Roman" w:hAnsi="Times New Roman" w:cs="Times New Roman"/>
          <w:sz w:val="24"/>
          <w:szCs w:val="24"/>
          <w:lang w:val="ru-RU"/>
        </w:rPr>
        <w:t>Возможность оперативного получения результатов когортного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анализ</w:t>
      </w:r>
      <w:r w:rsidR="004307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исходов </w:t>
      </w:r>
      <w:r w:rsidR="005F4110">
        <w:rPr>
          <w:rFonts w:ascii="Times New Roman" w:hAnsi="Times New Roman" w:cs="Times New Roman"/>
          <w:sz w:val="24"/>
          <w:szCs w:val="24"/>
          <w:lang w:val="ru-RU"/>
        </w:rPr>
        <w:t>химиотерапии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важным инструментом </w:t>
      </w:r>
      <w:r w:rsidR="00AD4060" w:rsidRPr="00E071F8">
        <w:rPr>
          <w:rFonts w:ascii="Times New Roman" w:hAnsi="Times New Roman" w:cs="Times New Roman"/>
          <w:sz w:val="24"/>
          <w:szCs w:val="24"/>
          <w:lang w:val="ru-RU"/>
        </w:rPr>
        <w:t>монитори</w:t>
      </w:r>
      <w:r w:rsidR="00AD4060">
        <w:rPr>
          <w:rFonts w:ascii="Times New Roman" w:hAnsi="Times New Roman" w:cs="Times New Roman"/>
          <w:sz w:val="24"/>
          <w:szCs w:val="24"/>
          <w:lang w:val="ru-RU"/>
        </w:rPr>
        <w:t xml:space="preserve">нга </w:t>
      </w:r>
      <w:r w:rsidR="00AD4060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лечения </w:t>
      </w:r>
      <w:r w:rsidR="00AD4060">
        <w:rPr>
          <w:rFonts w:ascii="Times New Roman" w:hAnsi="Times New Roman" w:cs="Times New Roman"/>
          <w:sz w:val="24"/>
          <w:szCs w:val="24"/>
          <w:lang w:val="ru-RU"/>
        </w:rPr>
        <w:t>как для районных и областных</w:t>
      </w:r>
      <w:r w:rsidR="00AD4060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060">
        <w:rPr>
          <w:rFonts w:ascii="Times New Roman" w:hAnsi="Times New Roman" w:cs="Times New Roman"/>
          <w:sz w:val="24"/>
          <w:szCs w:val="24"/>
          <w:lang w:val="ru-RU"/>
        </w:rPr>
        <w:t>координаторов, так и</w:t>
      </w:r>
      <w:r w:rsidR="005F4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>для руководителей противотуберкулезных учреждений районного, областного и республиканского уровней</w:t>
      </w:r>
      <w:r w:rsidR="00AD40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4E0B60" w14:textId="77777777" w:rsidR="00E071F8" w:rsidRPr="00E071F8" w:rsidRDefault="00AD4060" w:rsidP="00E071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>лектронный регистр позволяет своевременно получать результаты</w:t>
      </w:r>
      <w:r w:rsidRPr="00AD4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лабораторных исследований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>, что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частности, 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>значительно сокра</w:t>
      </w:r>
      <w:r>
        <w:rPr>
          <w:rFonts w:ascii="Times New Roman" w:hAnsi="Times New Roman" w:cs="Times New Roman"/>
          <w:sz w:val="24"/>
          <w:szCs w:val="24"/>
          <w:lang w:val="ru-RU"/>
        </w:rPr>
        <w:t>щает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интервал </w:t>
      </w:r>
      <w:r>
        <w:rPr>
          <w:rFonts w:ascii="Times New Roman" w:hAnsi="Times New Roman" w:cs="Times New Roman"/>
          <w:sz w:val="24"/>
          <w:szCs w:val="24"/>
          <w:lang w:val="ru-RU"/>
        </w:rPr>
        <w:t>времени от момента диагностики до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взятия на лечение, </w:t>
      </w:r>
      <w:r>
        <w:rPr>
          <w:rFonts w:ascii="Times New Roman" w:hAnsi="Times New Roman" w:cs="Times New Roman"/>
          <w:sz w:val="24"/>
          <w:szCs w:val="24"/>
          <w:lang w:val="ru-RU"/>
        </w:rPr>
        <w:t>и способствует повышению достоверности регистрации исходов химиотерапии.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574AC1" w14:textId="77777777" w:rsidR="00E071F8" w:rsidRPr="00AD4060" w:rsidRDefault="00554769" w:rsidP="00AD406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отметить, что </w:t>
      </w:r>
      <w:r w:rsidR="00E071F8" w:rsidRPr="00AD4060"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071F8" w:rsidRPr="00AD4060">
        <w:rPr>
          <w:rFonts w:ascii="Times New Roman" w:hAnsi="Times New Roman" w:cs="Times New Roman"/>
          <w:sz w:val="24"/>
          <w:szCs w:val="24"/>
          <w:lang w:val="ru-RU"/>
        </w:rPr>
        <w:t>TB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1F8">
        <w:rPr>
          <w:rFonts w:ascii="Times New Roman" w:hAnsi="Times New Roman" w:cs="Times New Roman"/>
          <w:sz w:val="24"/>
          <w:szCs w:val="24"/>
          <w:lang w:val="ru-RU"/>
        </w:rPr>
        <w:t>регистр</w:t>
      </w:r>
      <w:r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открытой системой, что позволяет </w:t>
      </w:r>
      <w:r w:rsidR="00E071F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</w:t>
      </w:r>
      <w:r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обмен данными с другими аналогичными </w:t>
      </w:r>
      <w:r w:rsidR="00AD4060">
        <w:rPr>
          <w:rFonts w:ascii="Times New Roman" w:hAnsi="Times New Roman" w:cs="Times New Roman"/>
          <w:sz w:val="24"/>
          <w:szCs w:val="24"/>
          <w:lang w:val="ru-RU"/>
        </w:rPr>
        <w:t>программами</w:t>
      </w:r>
      <w:r w:rsidR="00B5519D" w:rsidRPr="00E071F8">
        <w:rPr>
          <w:rFonts w:ascii="Times New Roman" w:hAnsi="Times New Roman" w:cs="Times New Roman"/>
          <w:sz w:val="24"/>
          <w:szCs w:val="24"/>
          <w:lang w:val="ru-RU"/>
        </w:rPr>
        <w:t>, функционирующими в системе национального з</w:t>
      </w:r>
      <w:r w:rsidRPr="00E071F8">
        <w:rPr>
          <w:rFonts w:ascii="Times New Roman" w:hAnsi="Times New Roman" w:cs="Times New Roman"/>
          <w:sz w:val="24"/>
          <w:szCs w:val="24"/>
          <w:lang w:val="ru-RU"/>
        </w:rPr>
        <w:t>дравоохранения.</w:t>
      </w:r>
      <w:r w:rsidR="00212270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1F8">
        <w:rPr>
          <w:rFonts w:ascii="Times New Roman" w:hAnsi="Times New Roman" w:cs="Times New Roman"/>
          <w:sz w:val="24"/>
          <w:szCs w:val="24"/>
          <w:lang w:val="ru-RU"/>
        </w:rPr>
        <w:t>Регистр</w:t>
      </w:r>
      <w:r w:rsidR="00212270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органичным элементом всей структуры противотуберкулезной программы в стране, и</w:t>
      </w:r>
      <w:r w:rsidR="00E07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270" w:rsidRPr="00E071F8">
        <w:rPr>
          <w:rFonts w:ascii="Times New Roman" w:hAnsi="Times New Roman" w:cs="Times New Roman"/>
          <w:sz w:val="24"/>
          <w:szCs w:val="24"/>
          <w:lang w:val="ru-RU"/>
        </w:rPr>
        <w:lastRenderedPageBreak/>
        <w:t>имеет достаточный запас гибкости для внесения изменений в соответствии с происходящими изменениями эпид</w:t>
      </w:r>
      <w:r w:rsidR="00B5519D" w:rsidRPr="00E071F8">
        <w:rPr>
          <w:rFonts w:ascii="Times New Roman" w:hAnsi="Times New Roman" w:cs="Times New Roman"/>
          <w:sz w:val="24"/>
          <w:szCs w:val="24"/>
          <w:lang w:val="ru-RU"/>
        </w:rPr>
        <w:t>емиологической</w:t>
      </w:r>
      <w:r w:rsidR="00212270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 ситуации или нормативной базы</w:t>
      </w:r>
      <w:r w:rsidR="00E071F8">
        <w:rPr>
          <w:rFonts w:ascii="Times New Roman" w:hAnsi="Times New Roman" w:cs="Times New Roman"/>
          <w:sz w:val="24"/>
          <w:szCs w:val="24"/>
          <w:lang w:val="ru-RU"/>
        </w:rPr>
        <w:t>, что важно для обеспечения устойчивости ее функционирования</w:t>
      </w:r>
      <w:r w:rsidR="00212270" w:rsidRPr="00E071F8">
        <w:rPr>
          <w:rFonts w:ascii="Times New Roman" w:hAnsi="Times New Roman" w:cs="Times New Roman"/>
          <w:sz w:val="24"/>
          <w:szCs w:val="24"/>
          <w:lang w:val="ru-RU"/>
        </w:rPr>
        <w:t xml:space="preserve">. Иными словами, </w:t>
      </w:r>
      <w:r w:rsidR="00E071F8" w:rsidRPr="00AD4060"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E071F8" w:rsidRPr="00E071F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071F8" w:rsidRPr="00AD4060">
        <w:rPr>
          <w:rFonts w:ascii="Times New Roman" w:hAnsi="Times New Roman" w:cs="Times New Roman"/>
          <w:sz w:val="24"/>
          <w:szCs w:val="24"/>
          <w:lang w:val="ru-RU"/>
        </w:rPr>
        <w:t>TB </w:t>
      </w:r>
      <w:r w:rsidR="00E071F8">
        <w:rPr>
          <w:rFonts w:ascii="Times New Roman" w:hAnsi="Times New Roman" w:cs="Times New Roman"/>
          <w:sz w:val="24"/>
          <w:szCs w:val="24"/>
          <w:lang w:val="ru-RU"/>
        </w:rPr>
        <w:t xml:space="preserve"> регистр </w:t>
      </w:r>
      <w:r w:rsidR="00212270" w:rsidRPr="00E071F8">
        <w:rPr>
          <w:rFonts w:ascii="Times New Roman" w:hAnsi="Times New Roman" w:cs="Times New Roman"/>
          <w:sz w:val="24"/>
          <w:szCs w:val="24"/>
          <w:lang w:val="ru-RU"/>
        </w:rPr>
        <w:t>имеет достаточный потенциал для дальнейшего улучшения и развития.</w:t>
      </w:r>
      <w:r w:rsidR="00E071F8" w:rsidRPr="00AD40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E071F8" w:rsidRPr="00AD4060" w:rsidSect="007616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F737" w14:textId="77777777" w:rsidR="001B4FF9" w:rsidRDefault="001B4FF9" w:rsidP="00A0537B">
      <w:pPr>
        <w:spacing w:after="0" w:line="240" w:lineRule="auto"/>
      </w:pPr>
      <w:r>
        <w:separator/>
      </w:r>
    </w:p>
  </w:endnote>
  <w:endnote w:type="continuationSeparator" w:id="0">
    <w:p w14:paraId="4B036450" w14:textId="77777777" w:rsidR="001B4FF9" w:rsidRDefault="001B4FF9" w:rsidP="00A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CCB8" w14:textId="77777777" w:rsidR="00F06A76" w:rsidRDefault="00F06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946208840"/>
      <w:docPartObj>
        <w:docPartGallery w:val="Page Numbers (Bottom of Page)"/>
        <w:docPartUnique/>
      </w:docPartObj>
    </w:sdtPr>
    <w:sdtEndPr/>
    <w:sdtContent>
      <w:p w14:paraId="0CE8787E" w14:textId="025A5F4F" w:rsidR="0030542B" w:rsidRPr="00C614BA" w:rsidRDefault="00BA2792">
        <w:pPr>
          <w:pStyle w:val="Footer"/>
          <w:jc w:val="right"/>
          <w:rPr>
            <w:rFonts w:ascii="Arial" w:hAnsi="Arial" w:cs="Arial"/>
            <w:sz w:val="20"/>
          </w:rPr>
        </w:pPr>
        <w:r w:rsidRPr="00C614BA">
          <w:rPr>
            <w:rFonts w:ascii="Arial" w:hAnsi="Arial" w:cs="Arial"/>
            <w:sz w:val="20"/>
          </w:rPr>
          <w:fldChar w:fldCharType="begin"/>
        </w:r>
        <w:r w:rsidR="0030542B" w:rsidRPr="00C614BA">
          <w:rPr>
            <w:rFonts w:ascii="Arial" w:hAnsi="Arial" w:cs="Arial"/>
            <w:sz w:val="20"/>
          </w:rPr>
          <w:instrText>PAGE   \* MERGEFORMAT</w:instrText>
        </w:r>
        <w:r w:rsidRPr="00C614BA">
          <w:rPr>
            <w:rFonts w:ascii="Arial" w:hAnsi="Arial" w:cs="Arial"/>
            <w:sz w:val="20"/>
          </w:rPr>
          <w:fldChar w:fldCharType="separate"/>
        </w:r>
        <w:r w:rsidR="00D47CAD" w:rsidRPr="00D47CAD">
          <w:rPr>
            <w:rFonts w:ascii="Arial" w:hAnsi="Arial" w:cs="Arial"/>
            <w:noProof/>
            <w:sz w:val="20"/>
            <w:lang w:val="ru-RU"/>
          </w:rPr>
          <w:t>16</w:t>
        </w:r>
        <w:r w:rsidRPr="00C614BA">
          <w:rPr>
            <w:rFonts w:ascii="Arial" w:hAnsi="Arial" w:cs="Arial"/>
            <w:sz w:val="20"/>
          </w:rPr>
          <w:fldChar w:fldCharType="end"/>
        </w:r>
      </w:p>
    </w:sdtContent>
  </w:sdt>
  <w:p w14:paraId="4D633AD0" w14:textId="77777777" w:rsidR="0030542B" w:rsidRDefault="00305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5C08" w14:textId="77777777" w:rsidR="00F06A76" w:rsidRDefault="00F06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00CA" w14:textId="77777777" w:rsidR="001B4FF9" w:rsidRDefault="001B4FF9" w:rsidP="00A0537B">
      <w:pPr>
        <w:spacing w:after="0" w:line="240" w:lineRule="auto"/>
      </w:pPr>
      <w:r>
        <w:separator/>
      </w:r>
    </w:p>
  </w:footnote>
  <w:footnote w:type="continuationSeparator" w:id="0">
    <w:p w14:paraId="398BFA98" w14:textId="77777777" w:rsidR="001B4FF9" w:rsidRDefault="001B4FF9" w:rsidP="00A0537B">
      <w:pPr>
        <w:spacing w:after="0" w:line="240" w:lineRule="auto"/>
      </w:pPr>
      <w:r>
        <w:continuationSeparator/>
      </w:r>
    </w:p>
  </w:footnote>
  <w:footnote w:id="1">
    <w:p w14:paraId="5DD0AF99" w14:textId="4415B684" w:rsidR="0030542B" w:rsidRPr="00E8446E" w:rsidRDefault="0030542B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406F" w14:textId="77777777" w:rsidR="00F06A76" w:rsidRDefault="00F06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F1C7" w14:textId="77777777" w:rsidR="00F06A76" w:rsidRDefault="00F06A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C823" w14:textId="77777777" w:rsidR="00F06A76" w:rsidRDefault="00F06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1171"/>
    <w:multiLevelType w:val="hybridMultilevel"/>
    <w:tmpl w:val="BCD0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CAE"/>
    <w:multiLevelType w:val="hybridMultilevel"/>
    <w:tmpl w:val="F8BCF1A8"/>
    <w:lvl w:ilvl="0" w:tplc="B136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62270"/>
    <w:multiLevelType w:val="hybridMultilevel"/>
    <w:tmpl w:val="BBF672C2"/>
    <w:lvl w:ilvl="0" w:tplc="E054BA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81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C03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20D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2F7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084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18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22D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C43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334BBD"/>
    <w:multiLevelType w:val="hybridMultilevel"/>
    <w:tmpl w:val="980A5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2735"/>
    <w:multiLevelType w:val="multilevel"/>
    <w:tmpl w:val="74DEEC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4" w:hanging="36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2" w:hanging="72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210" w:hanging="108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6A"/>
    <w:rsid w:val="000017F1"/>
    <w:rsid w:val="00003C12"/>
    <w:rsid w:val="000311F7"/>
    <w:rsid w:val="0005299E"/>
    <w:rsid w:val="00097716"/>
    <w:rsid w:val="000B1E69"/>
    <w:rsid w:val="000B203A"/>
    <w:rsid w:val="000B2BCC"/>
    <w:rsid w:val="000B77F4"/>
    <w:rsid w:val="000F15A9"/>
    <w:rsid w:val="001048E6"/>
    <w:rsid w:val="001049F1"/>
    <w:rsid w:val="00120056"/>
    <w:rsid w:val="00122655"/>
    <w:rsid w:val="00123A5C"/>
    <w:rsid w:val="00124D2A"/>
    <w:rsid w:val="00134DF9"/>
    <w:rsid w:val="00140D96"/>
    <w:rsid w:val="001540D7"/>
    <w:rsid w:val="00154FDF"/>
    <w:rsid w:val="00166374"/>
    <w:rsid w:val="00177E4A"/>
    <w:rsid w:val="00185AF4"/>
    <w:rsid w:val="00192D9B"/>
    <w:rsid w:val="00193E08"/>
    <w:rsid w:val="0019539B"/>
    <w:rsid w:val="001B1A7E"/>
    <w:rsid w:val="001B20E5"/>
    <w:rsid w:val="001B4FF9"/>
    <w:rsid w:val="001B6701"/>
    <w:rsid w:val="001C1B5F"/>
    <w:rsid w:val="001C21A4"/>
    <w:rsid w:val="001D3F12"/>
    <w:rsid w:val="001D534E"/>
    <w:rsid w:val="001E7574"/>
    <w:rsid w:val="00212270"/>
    <w:rsid w:val="00215206"/>
    <w:rsid w:val="002169D6"/>
    <w:rsid w:val="0023751E"/>
    <w:rsid w:val="0025610C"/>
    <w:rsid w:val="0026242F"/>
    <w:rsid w:val="00264D6F"/>
    <w:rsid w:val="002729C7"/>
    <w:rsid w:val="0028228F"/>
    <w:rsid w:val="00283F3C"/>
    <w:rsid w:val="00293A82"/>
    <w:rsid w:val="00294492"/>
    <w:rsid w:val="0029483E"/>
    <w:rsid w:val="002A2B32"/>
    <w:rsid w:val="002B019D"/>
    <w:rsid w:val="002B2D9F"/>
    <w:rsid w:val="002B7B9F"/>
    <w:rsid w:val="002D2B78"/>
    <w:rsid w:val="002D721E"/>
    <w:rsid w:val="002E0459"/>
    <w:rsid w:val="0030542B"/>
    <w:rsid w:val="00305918"/>
    <w:rsid w:val="00330B80"/>
    <w:rsid w:val="00345137"/>
    <w:rsid w:val="00364FAA"/>
    <w:rsid w:val="00373531"/>
    <w:rsid w:val="00384958"/>
    <w:rsid w:val="00394806"/>
    <w:rsid w:val="003A26BA"/>
    <w:rsid w:val="003A7E17"/>
    <w:rsid w:val="003B0FAE"/>
    <w:rsid w:val="003B6C87"/>
    <w:rsid w:val="003C07A1"/>
    <w:rsid w:val="003C46BD"/>
    <w:rsid w:val="003D3370"/>
    <w:rsid w:val="003E54C9"/>
    <w:rsid w:val="00402152"/>
    <w:rsid w:val="00404409"/>
    <w:rsid w:val="0042015D"/>
    <w:rsid w:val="00430782"/>
    <w:rsid w:val="00435039"/>
    <w:rsid w:val="00447644"/>
    <w:rsid w:val="00454B05"/>
    <w:rsid w:val="00471B28"/>
    <w:rsid w:val="00481D5E"/>
    <w:rsid w:val="00484874"/>
    <w:rsid w:val="004A5B44"/>
    <w:rsid w:val="004A678B"/>
    <w:rsid w:val="004A7251"/>
    <w:rsid w:val="004B7584"/>
    <w:rsid w:val="004D03E8"/>
    <w:rsid w:val="004D242C"/>
    <w:rsid w:val="004E0968"/>
    <w:rsid w:val="004E3255"/>
    <w:rsid w:val="004F3ADE"/>
    <w:rsid w:val="00503D0F"/>
    <w:rsid w:val="00512D53"/>
    <w:rsid w:val="005160A9"/>
    <w:rsid w:val="0053141D"/>
    <w:rsid w:val="00540726"/>
    <w:rsid w:val="00552659"/>
    <w:rsid w:val="00554051"/>
    <w:rsid w:val="00554769"/>
    <w:rsid w:val="005623D5"/>
    <w:rsid w:val="00570A8C"/>
    <w:rsid w:val="005733EF"/>
    <w:rsid w:val="005777C7"/>
    <w:rsid w:val="005B28E5"/>
    <w:rsid w:val="005B64B5"/>
    <w:rsid w:val="005C0A1D"/>
    <w:rsid w:val="005C404A"/>
    <w:rsid w:val="005D41A5"/>
    <w:rsid w:val="005D6EFA"/>
    <w:rsid w:val="005F26C4"/>
    <w:rsid w:val="005F4110"/>
    <w:rsid w:val="005F4346"/>
    <w:rsid w:val="005F6F3E"/>
    <w:rsid w:val="00601390"/>
    <w:rsid w:val="00606922"/>
    <w:rsid w:val="00615303"/>
    <w:rsid w:val="00615CF9"/>
    <w:rsid w:val="00622442"/>
    <w:rsid w:val="00627580"/>
    <w:rsid w:val="00631EEB"/>
    <w:rsid w:val="00642FB9"/>
    <w:rsid w:val="00660806"/>
    <w:rsid w:val="00681D3C"/>
    <w:rsid w:val="00694636"/>
    <w:rsid w:val="00697A06"/>
    <w:rsid w:val="006B2103"/>
    <w:rsid w:val="006C565E"/>
    <w:rsid w:val="006C5C2A"/>
    <w:rsid w:val="006D222D"/>
    <w:rsid w:val="007026E4"/>
    <w:rsid w:val="0070604D"/>
    <w:rsid w:val="00706672"/>
    <w:rsid w:val="00724146"/>
    <w:rsid w:val="00732A18"/>
    <w:rsid w:val="007338FF"/>
    <w:rsid w:val="00737A36"/>
    <w:rsid w:val="00740363"/>
    <w:rsid w:val="00754448"/>
    <w:rsid w:val="007609EA"/>
    <w:rsid w:val="007616D8"/>
    <w:rsid w:val="0076281D"/>
    <w:rsid w:val="00773EAF"/>
    <w:rsid w:val="00774478"/>
    <w:rsid w:val="00777FE9"/>
    <w:rsid w:val="00785A14"/>
    <w:rsid w:val="007A18B5"/>
    <w:rsid w:val="007A1A16"/>
    <w:rsid w:val="007A25ED"/>
    <w:rsid w:val="007A7212"/>
    <w:rsid w:val="007A7988"/>
    <w:rsid w:val="007B3032"/>
    <w:rsid w:val="007E3422"/>
    <w:rsid w:val="007F1F00"/>
    <w:rsid w:val="007F3BBC"/>
    <w:rsid w:val="007F618E"/>
    <w:rsid w:val="0080470F"/>
    <w:rsid w:val="00806081"/>
    <w:rsid w:val="00806952"/>
    <w:rsid w:val="00811312"/>
    <w:rsid w:val="0082458C"/>
    <w:rsid w:val="0082698D"/>
    <w:rsid w:val="008304C3"/>
    <w:rsid w:val="00844769"/>
    <w:rsid w:val="0085028A"/>
    <w:rsid w:val="00873AD5"/>
    <w:rsid w:val="00884A16"/>
    <w:rsid w:val="0088718B"/>
    <w:rsid w:val="00896D4C"/>
    <w:rsid w:val="008A3536"/>
    <w:rsid w:val="008B4F40"/>
    <w:rsid w:val="008C418C"/>
    <w:rsid w:val="008D2984"/>
    <w:rsid w:val="008E610D"/>
    <w:rsid w:val="008F2FA2"/>
    <w:rsid w:val="00904217"/>
    <w:rsid w:val="00912485"/>
    <w:rsid w:val="00916A66"/>
    <w:rsid w:val="00917C66"/>
    <w:rsid w:val="00947FDD"/>
    <w:rsid w:val="00951041"/>
    <w:rsid w:val="00951AC2"/>
    <w:rsid w:val="009605C7"/>
    <w:rsid w:val="009764A9"/>
    <w:rsid w:val="00982246"/>
    <w:rsid w:val="009A081B"/>
    <w:rsid w:val="009A3194"/>
    <w:rsid w:val="009A75C7"/>
    <w:rsid w:val="009B68E3"/>
    <w:rsid w:val="009B7372"/>
    <w:rsid w:val="009C1BD5"/>
    <w:rsid w:val="009C6F70"/>
    <w:rsid w:val="009D1D10"/>
    <w:rsid w:val="009D560A"/>
    <w:rsid w:val="00A0537B"/>
    <w:rsid w:val="00A12C4D"/>
    <w:rsid w:val="00A208CB"/>
    <w:rsid w:val="00A20B00"/>
    <w:rsid w:val="00A52D9A"/>
    <w:rsid w:val="00A75387"/>
    <w:rsid w:val="00A90B76"/>
    <w:rsid w:val="00A955A3"/>
    <w:rsid w:val="00A97A5E"/>
    <w:rsid w:val="00AA3521"/>
    <w:rsid w:val="00AA53E9"/>
    <w:rsid w:val="00AB1DBA"/>
    <w:rsid w:val="00AB73B5"/>
    <w:rsid w:val="00AC7BEB"/>
    <w:rsid w:val="00AD4060"/>
    <w:rsid w:val="00AD41D9"/>
    <w:rsid w:val="00AD6F65"/>
    <w:rsid w:val="00AE647C"/>
    <w:rsid w:val="00AE6D94"/>
    <w:rsid w:val="00AE7D62"/>
    <w:rsid w:val="00AF2E5A"/>
    <w:rsid w:val="00AF4A0B"/>
    <w:rsid w:val="00AF5ED5"/>
    <w:rsid w:val="00B050DD"/>
    <w:rsid w:val="00B332C6"/>
    <w:rsid w:val="00B401A4"/>
    <w:rsid w:val="00B47036"/>
    <w:rsid w:val="00B47420"/>
    <w:rsid w:val="00B5519D"/>
    <w:rsid w:val="00B63256"/>
    <w:rsid w:val="00B6433F"/>
    <w:rsid w:val="00B64802"/>
    <w:rsid w:val="00B64DB8"/>
    <w:rsid w:val="00B7061E"/>
    <w:rsid w:val="00B87A1B"/>
    <w:rsid w:val="00B9066D"/>
    <w:rsid w:val="00B91355"/>
    <w:rsid w:val="00B97F27"/>
    <w:rsid w:val="00BA2792"/>
    <w:rsid w:val="00BB7900"/>
    <w:rsid w:val="00BC7705"/>
    <w:rsid w:val="00BD2F9F"/>
    <w:rsid w:val="00BF0EDA"/>
    <w:rsid w:val="00C05D95"/>
    <w:rsid w:val="00C06DC6"/>
    <w:rsid w:val="00C0734C"/>
    <w:rsid w:val="00C2409A"/>
    <w:rsid w:val="00C36AC5"/>
    <w:rsid w:val="00C4321C"/>
    <w:rsid w:val="00C50389"/>
    <w:rsid w:val="00C56C45"/>
    <w:rsid w:val="00C614BA"/>
    <w:rsid w:val="00C62D5F"/>
    <w:rsid w:val="00C6307B"/>
    <w:rsid w:val="00C85BD6"/>
    <w:rsid w:val="00C87E39"/>
    <w:rsid w:val="00CA0B71"/>
    <w:rsid w:val="00CB6917"/>
    <w:rsid w:val="00CC1136"/>
    <w:rsid w:val="00CC6AE2"/>
    <w:rsid w:val="00CF0D5E"/>
    <w:rsid w:val="00CF7366"/>
    <w:rsid w:val="00D055F5"/>
    <w:rsid w:val="00D10128"/>
    <w:rsid w:val="00D212BB"/>
    <w:rsid w:val="00D21915"/>
    <w:rsid w:val="00D35215"/>
    <w:rsid w:val="00D35791"/>
    <w:rsid w:val="00D47CAD"/>
    <w:rsid w:val="00D5187B"/>
    <w:rsid w:val="00D55E20"/>
    <w:rsid w:val="00D601CD"/>
    <w:rsid w:val="00D6065A"/>
    <w:rsid w:val="00D606D2"/>
    <w:rsid w:val="00D646CC"/>
    <w:rsid w:val="00D6660B"/>
    <w:rsid w:val="00D7319F"/>
    <w:rsid w:val="00D81097"/>
    <w:rsid w:val="00D83E29"/>
    <w:rsid w:val="00D85096"/>
    <w:rsid w:val="00D85ACA"/>
    <w:rsid w:val="00D90FB1"/>
    <w:rsid w:val="00DB037B"/>
    <w:rsid w:val="00DB3E2A"/>
    <w:rsid w:val="00DC0B79"/>
    <w:rsid w:val="00DF2291"/>
    <w:rsid w:val="00DF44F4"/>
    <w:rsid w:val="00DF555B"/>
    <w:rsid w:val="00DF6DE3"/>
    <w:rsid w:val="00DF7780"/>
    <w:rsid w:val="00E0150A"/>
    <w:rsid w:val="00E02CB0"/>
    <w:rsid w:val="00E071F8"/>
    <w:rsid w:val="00E21F5F"/>
    <w:rsid w:val="00E32C29"/>
    <w:rsid w:val="00E3460B"/>
    <w:rsid w:val="00E50A5E"/>
    <w:rsid w:val="00E55561"/>
    <w:rsid w:val="00E56A63"/>
    <w:rsid w:val="00E62AB2"/>
    <w:rsid w:val="00E7066A"/>
    <w:rsid w:val="00E82A58"/>
    <w:rsid w:val="00E8446E"/>
    <w:rsid w:val="00EA3372"/>
    <w:rsid w:val="00EB20BE"/>
    <w:rsid w:val="00EB6941"/>
    <w:rsid w:val="00ED209F"/>
    <w:rsid w:val="00ED6D4B"/>
    <w:rsid w:val="00EE1F7A"/>
    <w:rsid w:val="00EE461C"/>
    <w:rsid w:val="00F005E9"/>
    <w:rsid w:val="00F00D4E"/>
    <w:rsid w:val="00F031AE"/>
    <w:rsid w:val="00F04619"/>
    <w:rsid w:val="00F06A76"/>
    <w:rsid w:val="00F17307"/>
    <w:rsid w:val="00F27393"/>
    <w:rsid w:val="00F42036"/>
    <w:rsid w:val="00F52FD2"/>
    <w:rsid w:val="00F562AD"/>
    <w:rsid w:val="00F65A3D"/>
    <w:rsid w:val="00F71A51"/>
    <w:rsid w:val="00F72B85"/>
    <w:rsid w:val="00F72D2F"/>
    <w:rsid w:val="00F76AF3"/>
    <w:rsid w:val="00F81968"/>
    <w:rsid w:val="00F90966"/>
    <w:rsid w:val="00FA3942"/>
    <w:rsid w:val="00FB0DCA"/>
    <w:rsid w:val="00FC344B"/>
    <w:rsid w:val="00FD391B"/>
    <w:rsid w:val="00FD6D40"/>
    <w:rsid w:val="00FD7C58"/>
    <w:rsid w:val="00FF2D57"/>
    <w:rsid w:val="00FF335C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7E67DC"/>
  <w15:docId w15:val="{39C02162-6564-4961-A95E-EDF3E19F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EB"/>
  </w:style>
  <w:style w:type="paragraph" w:styleId="Heading1">
    <w:name w:val="heading 1"/>
    <w:basedOn w:val="Normal"/>
    <w:next w:val="Normal"/>
    <w:link w:val="Heading1Char"/>
    <w:uiPriority w:val="9"/>
    <w:qFormat/>
    <w:rsid w:val="000311F7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066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5E20"/>
  </w:style>
  <w:style w:type="character" w:styleId="Hyperlink">
    <w:name w:val="Hyperlink"/>
    <w:basedOn w:val="DefaultParagraphFont"/>
    <w:uiPriority w:val="99"/>
    <w:unhideWhenUsed/>
    <w:rsid w:val="00AF2E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7B"/>
  </w:style>
  <w:style w:type="paragraph" w:styleId="Footer">
    <w:name w:val="footer"/>
    <w:basedOn w:val="Normal"/>
    <w:link w:val="FooterChar"/>
    <w:uiPriority w:val="99"/>
    <w:unhideWhenUsed/>
    <w:rsid w:val="00A0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7B"/>
  </w:style>
  <w:style w:type="paragraph" w:styleId="FootnoteText">
    <w:name w:val="footnote text"/>
    <w:basedOn w:val="Normal"/>
    <w:link w:val="FootnoteTextChar"/>
    <w:uiPriority w:val="99"/>
    <w:semiHidden/>
    <w:unhideWhenUsed/>
    <w:rsid w:val="00A753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3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53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E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61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14B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311F7"/>
    <w:rPr>
      <w:rFonts w:ascii="Arial" w:eastAsiaTheme="majorEastAsia" w:hAnsi="Arial" w:cs="Arial"/>
      <w:b/>
      <w:szCs w:val="32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0311F7"/>
    <w:pPr>
      <w:spacing w:after="0" w:line="240" w:lineRule="auto"/>
      <w:contextualSpacing/>
      <w:jc w:val="center"/>
    </w:pPr>
    <w:rPr>
      <w:rFonts w:ascii="Arial" w:eastAsiaTheme="majorEastAsia" w:hAnsi="Arial" w:cs="Arial"/>
      <w:b/>
      <w:kern w:val="28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0311F7"/>
    <w:rPr>
      <w:rFonts w:ascii="Arial" w:eastAsiaTheme="majorEastAsia" w:hAnsi="Arial" w:cs="Arial"/>
      <w:b/>
      <w:kern w:val="28"/>
      <w:szCs w:val="56"/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70667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unhideWhenUsed/>
    <w:rsid w:val="009B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39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7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45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F74D-49B7-4A1D-A44B-A225473B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2048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 Giyasov</dc:creator>
  <cp:lastModifiedBy>Anvar Giyasov</cp:lastModifiedBy>
  <cp:revision>2</cp:revision>
  <dcterms:created xsi:type="dcterms:W3CDTF">2021-12-25T18:42:00Z</dcterms:created>
  <dcterms:modified xsi:type="dcterms:W3CDTF">2021-12-25T18:42:00Z</dcterms:modified>
</cp:coreProperties>
</file>